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11"/>
        <w:ind w:right="0"/>
        <w:jc w:val="right"/>
        <w:keepNext/>
        <w:widowControl w:val="off"/>
        <w:rPr>
          <w:highlight w:val="white"/>
        </w:rPr>
      </w:pPr>
      <w:r>
        <w:rPr>
          <w:i/>
          <w:sz w:val="16"/>
          <w:szCs w:val="16"/>
          <w:highlight w:val="white"/>
        </w:rPr>
        <w:t xml:space="preserve"> </w:t>
      </w:r>
      <w:r>
        <w:rPr>
          <w:i/>
          <w:sz w:val="16"/>
          <w:szCs w:val="16"/>
          <w:highlight w:val="white"/>
        </w:rPr>
        <w:t xml:space="preserve"> </w:t>
      </w:r>
      <w:r>
        <w:rPr>
          <w:i/>
          <w:sz w:val="16"/>
          <w:szCs w:val="16"/>
          <w:highlight w:val="white"/>
        </w:rPr>
        <w:t xml:space="preserve">  </w:t>
      </w:r>
      <w:r>
        <w:rPr>
          <w:i/>
          <w:sz w:val="16"/>
          <w:szCs w:val="16"/>
          <w:highlight w:val="white"/>
        </w:rPr>
        <w:t xml:space="preserve"> </w:t>
      </w:r>
      <w:r>
        <w:rPr>
          <w:b w:val="0"/>
          <w:i/>
          <w:sz w:val="16"/>
          <w:szCs w:val="16"/>
          <w:highlight w:val="white"/>
        </w:rPr>
        <w:t xml:space="preserve">Для </w:t>
      </w:r>
      <w:r>
        <w:rPr>
          <w:b w:val="0"/>
          <w:i/>
          <w:sz w:val="16"/>
          <w:szCs w:val="16"/>
          <w:highlight w:val="white"/>
        </w:rPr>
        <w:t xml:space="preserve">бюдж</w:t>
      </w:r>
      <w:r>
        <w:rPr>
          <w:b w:val="0"/>
          <w:i/>
          <w:sz w:val="16"/>
          <w:szCs w:val="16"/>
          <w:highlight w:val="white"/>
        </w:rPr>
        <w:t xml:space="preserve">етно</w:t>
      </w:r>
      <w:r>
        <w:rPr>
          <w:b w:val="0"/>
          <w:i/>
          <w:sz w:val="16"/>
          <w:szCs w:val="16"/>
          <w:highlight w:val="white"/>
        </w:rPr>
        <w:t xml:space="preserve">й организа</w:t>
      </w:r>
      <w:r>
        <w:rPr>
          <w:b w:val="0"/>
          <w:i/>
          <w:sz w:val="16"/>
          <w:szCs w:val="16"/>
          <w:highlight w:val="white"/>
        </w:rPr>
        <w:t xml:space="preserve">ции</w:t>
      </w:r>
      <w:r>
        <w:rPr>
          <w:b w:val="0"/>
          <w:i/>
          <w:sz w:val="16"/>
          <w:szCs w:val="16"/>
          <w:highlight w:val="white"/>
        </w:rPr>
        <w:t xml:space="preserve">, с применением в расчётах с 1 по 6 ценовой категории</w:t>
      </w:r>
      <w:r>
        <w:rPr>
          <w:highlight w:val="white"/>
        </w:rPr>
      </w:r>
      <w:r>
        <w:rPr>
          <w:highlight w:val="white"/>
        </w:rPr>
      </w:r>
    </w:p>
    <w:p>
      <w:pPr>
        <w:pStyle w:val="1011"/>
        <w:ind w:right="0"/>
        <w:keepNext/>
        <w:widowControl w:val="off"/>
        <w:rPr>
          <w:b w:val="0"/>
          <w:i/>
          <w:highlight w:val="white"/>
        </w:rPr>
      </w:pPr>
      <w:r>
        <w:rPr>
          <w:b w:val="0"/>
          <w:i/>
          <w:highlight w:val="white"/>
        </w:rPr>
      </w:r>
      <w:r>
        <w:rPr>
          <w:b w:val="0"/>
          <w:i/>
          <w:highlight w:val="white"/>
        </w:rPr>
      </w:r>
      <w:r>
        <w:rPr>
          <w:b w:val="0"/>
          <w:i/>
          <w:highlight w:val="white"/>
        </w:rPr>
      </w:r>
    </w:p>
    <w:p>
      <w:pPr>
        <w:pStyle w:val="1039"/>
        <w:ind w:right="0"/>
        <w:keepNext/>
        <w:widowControl w:val="off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ДОГОВОР КУПЛИ – ПРОДАЖИ ЭЛЕКТРИЧЕСКОЙ ЭНЕРГИИ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39"/>
        <w:ind w:right="0"/>
        <w:keepNext/>
        <w:widowControl w:val="off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highlight w:val="white"/>
        </w:rPr>
        <w:t xml:space="preserve">   (_______________________ контракт)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11"/>
        <w:ind w:right="0"/>
        <w:keepNext/>
        <w:widowControl w:val="off"/>
        <w:rPr>
          <w:highlight w:val="white"/>
        </w:rPr>
      </w:pPr>
      <w:r>
        <w:rPr>
          <w:highlight w:val="white"/>
        </w:rPr>
        <w:t xml:space="preserve">№ ________________</w:t>
        <w:tab/>
        <w:t xml:space="preserve">от «___»____________202__ г.</w:t>
      </w:r>
      <w:r>
        <w:rPr>
          <w:highlight w:val="white"/>
        </w:rPr>
      </w:r>
      <w:r>
        <w:rPr>
          <w:highlight w:val="white"/>
        </w:rPr>
      </w:r>
    </w:p>
    <w:p>
      <w:pPr>
        <w:pStyle w:val="1012"/>
        <w:jc w:val="center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b w:val="0"/>
          <w:sz w:val="18"/>
          <w:szCs w:val="18"/>
          <w:highlight w:val="white"/>
        </w:rPr>
        <w:t xml:space="preserve">код идентификатора государственного контракта ________________________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1012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931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Публичное акционерное общество «Саратовэнерго» (имеющее статус Гарантирующего поставщика), именуемое в дальнейшем «Поставщик», в лице________________________________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____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_____________________________________________________________ ___________________________________________________________, действующего на основании ________________, с одной стороны, и _____________________________________________________________________,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именуемый(-ое) в дальнейшем «Потребитель» в лице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ind w:left="720" w:right="0" w:firstLine="720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  <w:vertAlign w:val="superscript"/>
        </w:rPr>
        <w:t xml:space="preserve">(полное наименование Потребителя)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_______________________________________________, действующего на основании ____________, с другой стороны, </w:t>
      </w:r>
      <w:r>
        <w:rPr>
          <w:sz w:val="18"/>
          <w:szCs w:val="18"/>
          <w:highlight w:val="white"/>
        </w:rPr>
        <w:t xml:space="preserve">а при совместном упоминании «стороны», в рамках 44-ФЗ о</w:t>
      </w:r>
      <w:r>
        <w:rPr>
          <w:sz w:val="18"/>
          <w:szCs w:val="18"/>
          <w:highlight w:val="white"/>
        </w:rPr>
        <w:t xml:space="preserve">т</w:t>
      </w:r>
      <w:r>
        <w:rPr>
          <w:sz w:val="18"/>
          <w:szCs w:val="18"/>
          <w:highlight w:val="white"/>
        </w:rPr>
        <w:t xml:space="preserve"> 05.04.2013 «О контрактной системе в сфере закупок товаров, работ, услуг для обеспечения государственных и муниципальных нужд» заключили настоящий договор купли-продажи электрической энергии (________________________контракт), именуемый в дальнейшем «договор», о нижеследующем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: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8"/>
        </w:numPr>
        <w:ind w:left="0" w:firstLine="284"/>
        <w:jc w:val="center"/>
        <w:keepNext/>
        <w:spacing w:before="240"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  <w:outlineLvl w:val="0"/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Предмет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ind w:firstLine="284"/>
        <w:jc w:val="both"/>
        <w:keepNext/>
        <w:widowControl w:val="off"/>
        <w:tabs>
          <w:tab w:val="left" w:pos="0" w:leader="none"/>
        </w:tabs>
        <w:rPr>
          <w:sz w:val="18"/>
          <w:szCs w:val="18"/>
          <w:highlight w:val="white"/>
        </w:rPr>
      </w:pPr>
      <w:r>
        <w:rPr>
          <w:sz w:val="18"/>
          <w:szCs w:val="18"/>
          <w:highlight w:val="white"/>
        </w:rPr>
        <w:t xml:space="preserve">1.1. Поставщик осуществляет продажу потребителю электрической энергии (мощности) и оказывает иные услуги, оказание которых является нео</w:t>
      </w:r>
      <w:r>
        <w:rPr>
          <w:sz w:val="18"/>
          <w:szCs w:val="18"/>
          <w:highlight w:val="white"/>
        </w:rPr>
        <w:t xml:space="preserve">т</w:t>
      </w:r>
      <w:r>
        <w:rPr>
          <w:sz w:val="18"/>
          <w:szCs w:val="18"/>
          <w:highlight w:val="white"/>
        </w:rPr>
        <w:t xml:space="preserve">ъемлемой частью процесса поставки электрической энергии потребителю, а потребитель принимает и оплачивает приобретаемую электрическую энергию (мощность) и оказанные услуги, в соответствии с условиями настоящего договора и действующего законодательства РФ. </w:t>
      </w:r>
      <w:r>
        <w:rPr>
          <w:sz w:val="18"/>
          <w:szCs w:val="18"/>
          <w:highlight w:val="white"/>
        </w:rPr>
      </w:r>
      <w:r>
        <w:rPr>
          <w:sz w:val="18"/>
          <w:szCs w:val="18"/>
          <w:highlight w:val="white"/>
        </w:rPr>
      </w:r>
    </w:p>
    <w:p>
      <w:pPr>
        <w:ind w:firstLine="284"/>
        <w:jc w:val="both"/>
        <w:keepNext/>
        <w:widowControl w:val="off"/>
        <w:tabs>
          <w:tab w:val="left" w:pos="0" w:leader="none"/>
        </w:tabs>
        <w:rPr>
          <w:sz w:val="18"/>
          <w:szCs w:val="18"/>
          <w:highlight w:val="white"/>
        </w:rPr>
      </w:pPr>
      <w:r>
        <w:rPr>
          <w:sz w:val="18"/>
          <w:szCs w:val="18"/>
          <w:highlight w:val="white"/>
        </w:rPr>
      </w:r>
      <w:r>
        <w:rPr>
          <w:sz w:val="18"/>
          <w:szCs w:val="18"/>
          <w:highlight w:val="white"/>
        </w:rPr>
        <w:t xml:space="preserve">В настоящем договоре не регулируются отношения, связанные с оперативно-диспетчерским управлением и передачей электрической энергии в отношении энергопринимающих устройств потребителя</w:t>
      </w:r>
      <w:r>
        <w:rPr>
          <w:sz w:val="18"/>
          <w:szCs w:val="18"/>
          <w:highlight w:val="white"/>
        </w:rPr>
        <w:t xml:space="preserve">.</w:t>
      </w:r>
      <w:r>
        <w:rPr>
          <w:highlight w:val="white"/>
        </w:rPr>
      </w:r>
      <w:r>
        <w:rPr>
          <w:sz w:val="18"/>
          <w:szCs w:val="18"/>
          <w:highlight w:val="white"/>
        </w:rPr>
      </w:r>
    </w:p>
    <w:p>
      <w:pPr>
        <w:pStyle w:val="931"/>
        <w:ind w:left="0" w:right="0" w:firstLine="283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1.2.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исполнении настоящего договора стороны договорились руководствоваться действующим законодательством РФ, решениями органов исполнительной власти, уполномоченных в области г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осударственного регулирования тарифов, другими действующими нормативными и правовыми актами Российской Федерации, соблюдать требования оперативно-технологического (диспетчерского) управления процессом передачи, приема и распределения электрической энергии.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left="0" w:right="0" w:firstLine="283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1.3.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вступления в силу после заключения настоящего дого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вора законов или иных нормативно-правовых актов, устанавливающих иные правила деятельности сторон или исполнения публичных договоров, установленные такими документами новые нормы обязательны для исполнения сторонами с момента их вступления в законную силу.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left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jc w:val="center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2.   Обязанности и права сторон.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2.1. Поставщик обязуется: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9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Осуществлять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продажу потребителю электрической энергии (мощност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), качество которой должно соответствовать требованиям законодательства РФ (в том числе ГОСТ 32144-2013) в необходимом ему объеме согласно Приложению № 1 к настоящему договору, не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превышающему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величину максимальной мощности и в соответствии с категорией надежности по точкам поставки потребителя (энергоснабжаемые объекты потребителя),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определенной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Приложени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№ 5 к настоящему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9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Публиковать на официальном сайте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""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  <w:lang w:val="en-US"/>
        </w:rPr>
        <w:t xml:space="preserve">www</w:t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  <w:lang w:val="en-US"/>
        </w:rPr>
        <w:t xml:space="preserve">saratovenergo</w:t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  <w:lang w:val="en-US"/>
        </w:rPr>
        <w:t xml:space="preserve">ru</w:t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в сети «Интернет» предельные уровни нерегулируемых цен для ценовых ка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тегорий не позднее, чем через 15 дней после окончания расчетного периода. Так же предельные уровни нерегулируемых цен и составляющие предельных уровней нерегулируемых цен доводить до сведения потребителя в счетах на оплату электрической энергии (мощности).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9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реорганизации, изменения форм собственности, банковских реквизитов, почтового и юридического адреса, адреса веб-сайта, электронной почты, поставщик обязан уведом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лять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об этом потребителя в срок не позднее 5 рабочих дней с момента произошедших изменений.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9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Обеспечи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ть осуществление действий, необходимых для реализации прав потребителя, предусмотренных условиями наст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оящего договора и требованиями Основных положений функционирования розничных рынков электрической энергии, утверждённых постановлением Правительства РФ от 04.05.2012 №442 (далее – Основные положения функционирования розничных рынков электрической энергии).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143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2.2. Поставщик имеет право: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143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2.2.1. В связи с наступлением обстоятельств, указанных в Правилах полного и (или) частичного ограничения режима потребления электрической энергии, утверждённых Постановлением Правительства РФ от 04.05.2012 №442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(далее - Правила полного и (или) частичного ограничения режима потребления электрической энергии)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инициировать в установленном порядке введение полного и (или) частичного ограничения режима потребления потребителем электрической энергии.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143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2.2.2. Поставщик вправе в одностороннем порядке отказат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ься от исполнения договора в случаях и порядке предусмотренным действующим законодательством РФ, уведомив об этом потребителя об этом за 10 рабочих дней до заявляемой им даты отказа от до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говора, способом, позволяющим подтвердить факт получения уведомления.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ind w:right="-1" w:firstLine="284"/>
        <w:jc w:val="both"/>
        <w:keepNext/>
        <w:widowControl w:val="off"/>
        <w:tabs>
          <w:tab w:val="left" w:pos="143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2.2.3. </w:t>
      </w:r>
      <w:r>
        <w:rPr>
          <w:sz w:val="18"/>
          <w:szCs w:val="18"/>
          <w:highlight w:val="white"/>
        </w:rPr>
        <w:t xml:space="preserve">Требовать от потребителя предоставления обеспечения исполнения обязательств по оплате электрической энергии (мощности), согласно условиям пункта 2.3.14 настоящего договора и действующего законодательства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keepNext/>
        <w:widowControl w:val="off"/>
        <w:tabs>
          <w:tab w:val="left" w:pos="993" w:leader="none"/>
          <w:tab w:val="left" w:pos="1276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highlight w:val="white"/>
        </w:rPr>
      </w:r>
      <w:bookmarkStart w:id="0" w:name="YANDEX_98"/>
      <w:r>
        <w:rPr>
          <w:highlight w:val="white"/>
        </w:rPr>
      </w:r>
      <w:bookmarkEnd w:id="0"/>
      <w:r>
        <w:rPr>
          <w:rFonts w:ascii="Liberation Serif" w:hAnsi="Liberation Serif" w:cs="Liberation Serif"/>
          <w:b/>
          <w:color w:val="000000"/>
          <w:sz w:val="18"/>
          <w:szCs w:val="18"/>
          <w:highlight w:val="white"/>
        </w:rPr>
        <w:t xml:space="preserve">2.3. Потребитель обязуется: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keepNext/>
        <w:widowControl w:val="off"/>
        <w:tabs>
          <w:tab w:val="left" w:pos="993" w:leader="none"/>
          <w:tab w:val="left" w:pos="1276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2.3.1.</w:t>
      </w:r>
      <w:r>
        <w:rPr>
          <w:rFonts w:ascii="Liberation Serif" w:hAnsi="Liberation Serif" w:cs="Liberation Serif"/>
          <w:b/>
          <w:color w:val="000000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Своевременно 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роизводить оплату платёжных документов, выставленных поставщиком в сроки и порядке, установленные настоящим договором.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993" w:leader="none"/>
          <w:tab w:val="left" w:pos="1276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2.3.2.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Самостоятельно урегулировать с сетевой организацией, с предоставлением поставщику необходимой технической документации, вопросы взаимодействия в части: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numPr>
          <w:ilvl w:val="0"/>
          <w:numId w:val="10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урегулирования с системоборазующей территориально сетевой организацией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путем самостоятельного заключения соответствующего договора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оказания услуг по передаче электрической энергии до точек поставки потребителя;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0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надлежащего оформления технологического присоединения (в том числе и опосредованно) энергопринимающих устройств потребителя в установленном порядке к объектам электросетевого хозяйства сетевой организации;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0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информирования об аварийных ситуациях в своих электроустановках и сроках их ремонта;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0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своего участия в реализации графиков аварийного ограничения режима потребления электрической энергии и использования противоаварийной автоматики;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0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оперативно-технологического взаимодействия и эксплуатации принадлежащих потребителю энергопринимающих устройств, в соответствии с правилами технической эксплуатации, техники безопасности и оперативно-диспетчерского управления;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left="0" w:right="-1" w:firstLine="283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)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надлежащего оформления Акта технологической и (или) аварийной брони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Если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Потребитель, ограничение режима потребления энергии (мощности) которого может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привести к экономическим, экологическим, социальным последствиям, а также Потребитель, энергопринимающие устройства которого отнесены к первой категории надежности, при отсутствии у него акта согласования технологической и (или) аварийной брони на дату под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ачи заявления о заключении договора энергоснабжения или при возникновении после заключения договора энергоснабжения оснований для изменения ранее составленного акта в порядке, определенном Правилами недискриминационного доступа к услугам по передаче энерги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 и оказания этих услуг, обязан составить (изменить) и согласовать с сетев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ой организацией акт согласования технологической и (или) аварийной брони, а также передать поставщику копию такого акта не позднее 5 дней со дня согласования с сетевой организацией.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left" w:pos="28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Обеспечивать сохранность и целостность приборов учета и иного оборудования, используемых для обеспечения учета энергии (мощности), а также пломб и (или) знаков 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изуального контроля, установленных в границах балансовой принадлежности энергопринимающих устройств потребителя (в границах земельного участка, внутри помещения потребителя), по перечню средств и оборудования, согласно Приложению №3 к настоящему договору.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left" w:pos="28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Обеспечить допуск поставщика к необходимой технической документации и оборудованию потребителя, для контроля над соблюдением установленных режимов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электропотребления, технического состояния, условий эксплуатации, проверки правильности работы и замены (установки) приборов учета, проведения измерений и снятию показаний приборов учета, в случаях и порядке установленных действующим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left" w:pos="28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случае, если потребитель является лицом, ответственным за снятие показаний расчетных приборов учета, предоставлять поставщику показания расчетных приборов учета по установленной форме (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"прил_10_1"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7.1 к настоящему договору), а также данные о почасовых объемах потребления по каждому прибору учета (в случае выбора для осуществления расчетов соответствующей ценовой категории (предполагающей почасовой учет (почасовое планирование и учет)) (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"прил_10"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7 к настоящему договору).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использовании в расчётах стоимости электроэнергии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(мощности)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пятой и шестой ценовой категории Потребитель обязан сообщ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ть Поставщику детализацию планового объема потребления электрической энергии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(мощности)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 часам суток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сроки и порядке установленные действующим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Сведения о поч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асовых объемах потребления по каждому прибору учета, в случае выбора для осуществления расчетов ценовой категории, предполагающей почасовой учет (почасовое планирование и учет) по каждой точке поставки (энергоснабжаемому объекту) по приборам учета направля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ть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в виде электронной таблице формата «</w:t>
      </w:r>
      <w:r>
        <w:rPr>
          <w:rFonts w:ascii="Liberation Serif" w:hAnsi="Liberation Serif" w:cs="Liberation Serif"/>
          <w:sz w:val="18"/>
          <w:szCs w:val="18"/>
          <w:highlight w:val="white"/>
          <w:lang w:val="en-US"/>
        </w:rPr>
        <w:t xml:space="preserve">EXCEL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» (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"прил_10"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7 к настоящему договору), либо в формате </w:t>
      </w:r>
      <w:r>
        <w:rPr>
          <w:rFonts w:ascii="Liberation Serif" w:hAnsi="Liberation Serif" w:cs="Liberation Serif"/>
          <w:sz w:val="18"/>
          <w:szCs w:val="18"/>
          <w:highlight w:val="white"/>
          <w:lang w:val="en-US"/>
        </w:rPr>
        <w:t xml:space="preserve">XML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«80020» на адрес электронной </w:t>
      </w:r>
      <w:bookmarkStart w:id="1" w:name="_Hlk145312736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почты поставщика</w:t>
      </w:r>
      <w:bookmarkEnd w:id="1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указанный в п.11.1 Договора с обязательным указанием номера дог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овора в наименовании документа.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Также, предоставлять данные по каждому прибору учета, фиксирующему потребление электрической энергии в нежилых помещениях многоквартирных жилых домов или объектах, технологически присоединённым к сетям жилого дома – ежемесячно, 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 позднее 25-го числа расчетного (оплачиваемого) месяца, в отношении иных приборов учета до окончания 1-го дня месяца, следующего за расчетным периодом, на адрес электронной почты поставщика, через официальный сайт поставщика в разделе «Личный кабинет» ука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занные в п.11.1., в виде электронного документа, подписанного электронной подписью, или любым способом, позволяющим подтвердить факт и дату получения показаний поставщиком, также в письменной форме в виде оригинала «Акта снятия показаний приборов учета», (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"прил_10_1"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7.1 к настоящему договору) в течение 3 рабочих дней.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присоединении приборов учёта потребителя и субабонентов потребителя к интеллектуальным системам учета электрической энергии (мощности) сетевой организации или поставщика объём фактического потребления электрическ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ой энергии (мощности) по данным присоединениям формируется на основании данных системы учёта полученных поставщиком самостоятельно, при условии отсутствия зафиксированных фактов неисправности приборов учёта и (или) наличия следов вмешательства в их работу.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Представлять в течении 7 рабочих дней после заключения Договора список лиц, имеющих право ведения оперативных переговоров, подписания ежемесячных актов снятия показаний расчетных приборов учета и иных актов. Список должен содержать должности и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ФИО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уполномоченных лиц, и их рабочие телефоны. Потребитель обязуется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течении 2 рабочих дней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извещать поставщика об измен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ении данных, указанных в настоящем пункте. </w:t>
      </w:r>
      <w:bookmarkStart w:id="2" w:name="п_2_3_8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Потребитель, имеющий намерение в соответствии с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"п_2_4_3"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п. 2.4.3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или </w:t>
      </w:r>
      <w:bookmarkEnd w:id="2"/>
      <w:r>
        <w:rPr>
          <w:highlight w:val="white"/>
        </w:rPr>
      </w:r>
      <w:bookmarkStart w:id="3" w:name="п_2_4_5"/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"п_2_4_5"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п. 2.4.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4 Договора в одностороннем порядке отказаться от исполнения Договора полностью или уменьшить объемы энергии (мощности),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приобретаемые по Договору, обязан передать поставщику письменное уведомление об этом не позднее, чем за 20 рабочих дней до заявляемой им даты расторжения или изменения Договора способом, позволяющим подтвердить факт и дату получения указанного уведомления.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нарушении Потребителем требования настоящего пункта об уведомлении поставщика в установленные сроки и (или) при нарушении им требования о выполнении условий, предусмотренных пунктами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"п_2_4_3"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п. 2.4.3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или 2.4.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"п_2_4_5"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4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настоящего Договора, определенные настоящим Договором обязательства Потребителя и поставщика сохраняются в неизменном виде вплоть до момента надлежащего выполнения указанных требований.</w:t>
      </w:r>
      <w:bookmarkEnd w:id="3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Поддерживать на границе балансовой принадлежности значения показателей качества электрической энергии, обусловленные работой энергопринимающих устройств потребителя, соответствующие требованиям, предъявляемым ГОСТ 32144-2013 по точки поставки, указанным в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"прил_4"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Приложениях №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 и №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"прил_7"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5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к настоящему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реорганизации, изменения форм собственности, смене собственника или иного законного владельца, точек поставки электрической энергии по данному договору, изменения пер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ечня субабонентов, банковских реквизитов, почтового и юридического адреса, адреса веб-сайта, электронной почты, контактных телефонов, факса, потребитель обязан уведомить об этом поставщика в срок не позднее 5 рабочих дней с момента произошедших изменений.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получении от поставщика уведомления о вводе режима ограничения электропотребления электрической энергии (мощности) потребитель обязан незамедлительно уведомить об этом субабонентов, указанных в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"прил_4"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 к настоящему договору,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и предп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ринять все необходимые действия для обеспечения бесперебойной поставки им электрической энергии. Потребитель несёт ответственность за невыполнение таких действий, в том числе за убытки субабонентов, возникшие вследствие невыполнения таких действий.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num" w:pos="0" w:leader="none"/>
          <w:tab w:val="clear" w:pos="142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 письменному требованию поставщика вводить режим частичного или полного ограничения потребления электрической энергии (мощности) субабонентам, указанным в Приложении №2 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настоящему договору. В случае неисполнения потребителем требований данного пункта договора, объём потреблённой субабонентом электрической энергии (мощности), в отношении 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оторого вводится режим частичного или полного ограничения потребления электрической энергии, с момента планируемого ограничения и до момента его отмены поставщиком, будет учитываться как собственное потребление электрической энергии (мощности) потребителя.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num" w:pos="0" w:leader="none"/>
          <w:tab w:val="clear" w:pos="142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обнаружении Потребителем, являющимся собственником энергопринимающих устрой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ств, в границах балансовой принадлежности которых установлен расчетный прибор учета, принадлежащий сетевой организации, поставщику или другому лицу, при выявлении фактов его неисправности или утраты обязан в течение одних суток сообщить об этом поставщику.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num" w:pos="0" w:leader="none"/>
          <w:tab w:val="clear" w:pos="142" w:leader="none"/>
        </w:tabs>
        <w:rPr>
          <w:rFonts w:ascii="Liberation Serif" w:hAnsi="Liberation Serif" w:cs="Liberation Serif"/>
          <w:sz w:val="18"/>
          <w:szCs w:val="18"/>
          <w:highlight w:val="white"/>
          <w14:ligatures w14:val="non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Потребитель в соответствии с Федеральным законом «О персональных данных» от 27.07.2006г. № 152-ФЗ своей волей и в своем интересе вы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ражает Поставщику, зарегистрированному по адресу: Российская Федерация, Саратовская область, г. о. город Саратов, г. Саратов, ул. им. Мичурина И.В., д. 166/168 , своё согласие на обработку персональных данных, согласно Приложению № 6 к на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стояще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му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  <w14:ligatures w14:val="none"/>
        </w:rPr>
      </w:r>
    </w:p>
    <w:p>
      <w:pPr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num" w:pos="0" w:leader="none"/>
          <w:tab w:val="clear" w:pos="142" w:leader="none"/>
        </w:tabs>
        <w:rPr>
          <w:rFonts w:ascii="Liberation Serif" w:hAnsi="Liberation Serif" w:cs="Liberation Serif"/>
          <w:sz w:val="18"/>
          <w:szCs w:val="18"/>
          <w:highlight w:val="white"/>
          <w14:ligatures w14:val="non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Предоставить поставщику обеспечение исполнения обязательств по оплате электрической энергии (мощности), поставляемой по Договору, если ограничение режима потребления электрической энергии (мощности) Потребителя  может привести к экономическим, экологиче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ским или социальным последствиям, не исполнил или ненадлежащим образом исполнил обязательства по оплате электрической энергии (мощности) поставщику, что привело к образованию задолженности по Договору в размере, установленном действующим законодательством.</w:t>
      </w:r>
      <w:r>
        <w:rPr>
          <w:rFonts w:ascii="Liberation Serif" w:hAnsi="Liberation Serif" w:cs="Liberation Serif"/>
          <w:sz w:val="18"/>
          <w:szCs w:val="18"/>
          <w:highlight w:val="white"/>
          <w14:ligatures w14:val="none"/>
        </w:rPr>
      </w:r>
    </w:p>
    <w:p>
      <w:pPr>
        <w:ind w:left="0" w:right="-1" w:firstLine="283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  <w14:ligatures w14:val="non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sz w:val="18"/>
          <w:szCs w:val="18"/>
          <w:highlight w:val="white"/>
        </w:rPr>
        <w:t xml:space="preserve">Срок, в течении котор</w:t>
      </w:r>
      <w:r>
        <w:rPr>
          <w:sz w:val="18"/>
          <w:szCs w:val="18"/>
          <w:highlight w:val="white"/>
        </w:rPr>
        <w:t xml:space="preserve">ого необходимо предоставить обе</w:t>
      </w:r>
      <w:r>
        <w:rPr>
          <w:sz w:val="18"/>
          <w:szCs w:val="18"/>
          <w:highlight w:val="white"/>
        </w:rPr>
        <w:t xml:space="preserve">спечение исполнения обязательств по оплате электрической энергии (мощности), определяется поставщиком, при этом дата окончания указанного срока не может наступить ранее чем через 60 дней со дня получения потребителем уведомле</w:t>
      </w:r>
      <w:r>
        <w:rPr>
          <w:sz w:val="18"/>
          <w:szCs w:val="18"/>
          <w:highlight w:val="white"/>
        </w:rPr>
        <w:t xml:space="preserve">ния поставщика о предоставлении обеспечение исполнения обязательств по оплате электрической энергии (мощности). Обеспечение исполнения обязательств по оплате электрической энергии (мощности) предоставляется потребителем в виде выдаваемой банком независимой</w:t>
      </w:r>
      <w:r>
        <w:rPr>
          <w:sz w:val="18"/>
          <w:szCs w:val="18"/>
          <w:highlight w:val="white"/>
        </w:rPr>
        <w:t xml:space="preserve"> гарантии, соответствующей требованиям законодательства РФ. Банковская гарантия обеспечивает исполнение возникших после ее выдачи обязанностей по оплате электрической энергии (мощности), поставляемой по наст</w:t>
      </w:r>
      <w:r>
        <w:rPr>
          <w:sz w:val="18"/>
          <w:szCs w:val="18"/>
          <w:highlight w:val="white"/>
        </w:rPr>
        <w:t xml:space="preserve">оящему договору электрической энергии (мощности)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  <w14:ligatures w14:val="none"/>
        </w:rPr>
      </w:r>
      <w:r>
        <w:rPr>
          <w:highlight w:val="white"/>
        </w:rPr>
      </w:r>
    </w:p>
    <w:p>
      <w:pPr>
        <w:ind w:left="0" w:right="-1" w:firstLine="283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  <w14:ligatures w14:val="none"/>
        </w:rPr>
      </w:pPr>
      <w:r>
        <w:rPr>
          <w:rFonts w:ascii="Liberation Serif" w:hAnsi="Liberation Serif" w:cs="Liberation Serif"/>
          <w:sz w:val="18"/>
          <w:szCs w:val="18"/>
          <w:highlight w:val="white"/>
          <w14:ligatures w14:val="none"/>
        </w:rPr>
        <w:t xml:space="preserve">2.3.15. </w:t>
      </w:r>
      <w:r>
        <w:rPr>
          <w:sz w:val="18"/>
          <w:szCs w:val="18"/>
          <w:highlight w:val="white"/>
        </w:rPr>
        <w:t xml:space="preserve">Потребитель обеспечивает формирование и присвоение настоящему договору кода идентификатора государственного кон</w:t>
      </w:r>
      <w:r>
        <w:rPr>
          <w:sz w:val="18"/>
          <w:szCs w:val="18"/>
          <w:highlight w:val="white"/>
        </w:rPr>
        <w:t xml:space="preserve">тракта, в случаях и порядке предусмотренных требованиями действующего законодательства РФ.</w:t>
      </w:r>
      <w:r>
        <w:rPr>
          <w:rFonts w:ascii="Liberation Serif" w:hAnsi="Liberation Serif" w:cs="Liberation Serif"/>
          <w:sz w:val="18"/>
          <w:szCs w:val="18"/>
          <w:highlight w:val="white"/>
          <w14:ligatures w14:val="none"/>
        </w:rPr>
      </w:r>
      <w:r>
        <w:rPr>
          <w:rFonts w:ascii="Liberation Serif" w:hAnsi="Liberation Serif" w:cs="Liberation Serif"/>
          <w:sz w:val="18"/>
          <w:szCs w:val="18"/>
          <w:highlight w:val="white"/>
          <w14:ligatures w14:val="none"/>
        </w:rPr>
      </w:r>
    </w:p>
    <w:p>
      <w:pPr>
        <w:pStyle w:val="931"/>
        <w:ind w:left="0" w:right="-1" w:firstLine="283"/>
        <w:jc w:val="both"/>
        <w:keepNext/>
        <w:widowControl w:val="off"/>
        <w:rPr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  <w14:ligatures w14:val="none"/>
        </w:rPr>
        <w:t xml:space="preserve">2.3.16. </w:t>
      </w:r>
      <w:r>
        <w:rPr>
          <w:sz w:val="18"/>
          <w:szCs w:val="18"/>
          <w:highlight w:val="white"/>
        </w:rPr>
        <w:t xml:space="preserve">До момента заключения настоящег</w:t>
      </w:r>
      <w:r>
        <w:rPr>
          <w:sz w:val="18"/>
          <w:szCs w:val="18"/>
          <w:highlight w:val="white"/>
        </w:rPr>
        <w:t xml:space="preserve">о договора представить в адрес поставщика сведения о величине установленных главным распорядителем бюджетных средств лимитов бюджетных обязательств на оплату электрической энергии и мощности в натуральном (кВтч) и стоимостном выражении (руб.) с помесячной </w:t>
      </w:r>
      <w:r>
        <w:rPr>
          <w:sz w:val="18"/>
          <w:szCs w:val="18"/>
          <w:highlight w:val="white"/>
        </w:rPr>
        <w:t xml:space="preserve">разбивкой, а также ориентировочную величину внебюджетных средств. При наличии финансирования на оплату потребляемой электрической из внебюджетных источников по внебюджетной сфере деятельности обеспечить раздельный учёт потребления электрической энергии (мо</w:t>
      </w:r>
      <w:r>
        <w:rPr>
          <w:sz w:val="18"/>
          <w:szCs w:val="18"/>
          <w:highlight w:val="white"/>
        </w:rPr>
        <w:t xml:space="preserve">щности) по бюджетной и внебюджетной сферам деятельности. На основании установленных главным распорядителем бюджетных средств лимитов бюджетных обязательств, а также ориентировочных величин внебюджетных средств на оплату электрической энергии и мощности сфо</w:t>
      </w:r>
      <w:r>
        <w:rPr>
          <w:sz w:val="18"/>
          <w:szCs w:val="18"/>
          <w:highlight w:val="white"/>
        </w:rPr>
        <w:t xml:space="preserve">рмировать и предоставлять поставщику подписанную уполномоченным лицом и скреплённую печатью потребителя письменную заявку с детализацией планируемого объёма потребления электрической энергии и заявленной мощности по точкам поставки, с помесячной разбивкой.</w:t>
      </w:r>
      <w:r>
        <w:rPr>
          <w:highlight w:val="white"/>
        </w:rPr>
      </w:r>
      <w:r>
        <w:rPr>
          <w:highlight w:val="white"/>
        </w:rPr>
      </w:r>
    </w:p>
    <w:p>
      <w:pPr>
        <w:ind w:left="0" w:right="-1" w:firstLine="283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  <w14:ligatures w14:val="none"/>
        </w:rPr>
      </w:pPr>
      <w:r>
        <w:rPr>
          <w:sz w:val="18"/>
          <w:szCs w:val="18"/>
          <w:highlight w:val="white"/>
        </w:rPr>
        <w:t xml:space="preserve">При дефиците лимитов бюджетных обязательств обратиться к главному распорядителю бюджетных средств и принять все меры для увеличения лимитов бюджетных обязательств, о чём письменно уведомить поставщика.</w:t>
      </w:r>
      <w:r>
        <w:rPr>
          <w:rFonts w:ascii="Liberation Serif" w:hAnsi="Liberation Serif" w:cs="Liberation Serif"/>
          <w:sz w:val="18"/>
          <w:szCs w:val="18"/>
          <w:highlight w:val="white"/>
          <w14:ligatures w14:val="none"/>
        </w:rPr>
      </w:r>
      <w:r>
        <w:rPr>
          <w:highlight w:val="white"/>
        </w:rPr>
      </w:r>
    </w:p>
    <w:p>
      <w:pPr>
        <w:pStyle w:val="931"/>
        <w:ind w:left="284" w:right="-1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2.4. Потребитель имеет право: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4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highlight w:val="white"/>
        </w:rPr>
      </w:r>
      <w:bookmarkStart w:id="4" w:name="п_2_4_1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Выбрать в случаях и порядке, определенных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Основны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ми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положения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ми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функционирования розничных рынков электрической энергии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ценовую категорию для производства расчётов за потребленную электрическую энергию (мощность) по настоящему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4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highlight w:val="white"/>
        </w:rPr>
      </w:r>
      <w:bookmarkEnd w:id="4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Заявлять поставщику об ошибках, обнаруженных в расчётном документе. Подача заявления об ошибке в расчётном документе не освобождает потребителя от обязанности принять и оплатить в установленный срок расчётный документ в неоспариваемой части.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4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одностороннем порядке отказаться от исполнения Договора полностью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при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соблюдени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условий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предусмотренн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ых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п.2.3.7.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Договора,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а также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пр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 условии оплаты поставщику не позднее, чем за 10 рабочих дней до заявляемой Потребителем даты расторжения Договора стоимости потребленной энергии (мощности), что должно быть подтверждено оплатой счета, выставляемого поставщиком в порядке, предусмотренном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Основными положениями функционирования розничных рынков электрической энергии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bookmarkStart w:id="5" w:name="п_2_4_3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4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одностороннем порядке уменьшить объемы энергии (м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ощности), приобретаемые у поставщика, путем приобретения части объемов энергии (мощности) по договору, обеспечивающему продажу энергии (мощности), заключенному с производителем электрической энергии (мощности) на розничном рынке в порядке, предусмотренном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Основными положениями функционирования розничных рынков электрической энергии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п.2.3.7.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Договора.</w:t>
      </w:r>
      <w:bookmarkEnd w:id="5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4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 даты утраты поставщиком его статуса перейти на обслуживание к организации, которой присвоен статус гарантирующего поставщика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 энергосбытовой (энергоснабжающей) организации или производителю энергии (мощности) на розничном рынке.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2.4.6.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имеют иные права и обязанности, а также несут иную ответственность, предусмотренные Договором и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center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3.  Учет потребления электрической энергии (мощности).</w:t>
      </w:r>
      <w:bookmarkStart w:id="6" w:name="_Ref172880105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3.1. Определение объема потребления (производства) электрической энергии (мощности), а также оказанных услуг по передаче электрической энергии осуществляется на основании: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а)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показаний приборов учета, в том числе включенных в состав измерительных комплексов, систем учета и приб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оров учета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электрической энергии, присоединенных к интеллектуальным системам учета электрической энергии (мощности), и интеллектуальных систем учета электрической энергии (мощности), находящихся по адресам, указанным в Приложении № 3 к настоящему договору;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б)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при отсутствии актуальных пок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азаний или непригодности к расчетам приборов учета, измерительных комплексов - на основании расчетных способов, которые определяются замещающей информацией или иными расчетными способами, предусмотренных действующим законодательством Российской Федерации.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едения об объёмах потребления электрической энергии (мощности) за расчётный период формируются с учётом ценовой категории, используемой в расчётах в соответствии с требованиями п.2.3.5. и п.2.4.1.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Сетев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ая организация обеспечивает коммерческий учет электрической энергии (мощности) в том числе замену, допуск в эксплуатацию приборов учета и (или) иного оборудования, а также нематериальных активов, которые необходимы для обеспечения коммерческого учета элект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рической энергии (мощности), и последующую их эксплуатацию, в том числе посредством интеллектуальных систем учета электрической энергии (мощности) в отношении непосредственно или опосредованно присоединенных к принадлежащим им на праве собственности или ин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ом законном основании объектам электросетевого хозяйства, энергопринимающих устройств потребителей электрической энергии (мощности), за исключением случаев, когда соответствующие обязанности возложены законодательством РФ об электроэнергетике на иное лицо.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Тех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нические данные приборов учета (измерительных комплексов), их балансовая принадлежность, а также сведения о юридическом(их) лице(ах), ответственном(ых) в соответствии с законодательством РФ об электроэнергетике за эксплуатацию приборов учета, содержатся в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"прил_5"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 к настоящему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тевая организация в случае неисполнения или ненадлежащего исполнения указанных обязанностей по установке, замене и допуску в эксплуатацию прибора учета несет ответственность, предусмотренную действующим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Собственники приборов учета и (или) иного оборудования, используемых для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обеспечения коммерческого учета электрической энергии (мощности), а также собственники (владельцы) и (или) пользователи объектов, на которых установлены такие приборы учета и (или) иное оборудование, не вправе по своему усмотрению демонтировать приборы уч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ета и (или) иное оборудование, ограничивать к ним доступ, вмешиваться в процесс удаленного сбора, обработки и передачи показаний приборов учета (измерительных трансформаторов), в любой иной форме препятствовать их использованию для обеспечения и осуществле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ния контроля коммерческого учета электрической энергии (мощности), в том числе препятствовать проведению проверок целостности и корректности их работы, использованию для этих целей данных, получаемых с принадлежащих им приборов учета электрической энергии.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Обязанность по обеспечению сохранности и целостности прибора учета 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(или) иного оборудования, используемых для обеспечения коммерческого учета электрической энергии (мощности), а также пломб и (или) знаков визуального контроля возлагается на собственника (владельца) энергопринимающих устройств, объектов по производству эл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ектрической энергии (мощности), объектов электросетевого хозяйства, в границах балансовой принадлежности которых установлены приборы учета и (или) иное оборудование, которое используется для обеспечения коммерческого учета электрической энергии (мощности).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Указанные лица в соответствии с законодательством Российской Федерации обязаны возместить сетевой организации (поставщику) убытки, причиненные неисполнением или ненад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лежащим исполнением обязанностей по обеспечению сохранности и целостности установленных сетевой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4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Порядок установки (замены) и допуска установленного прибора учета в эксплуатацию лицом, обязанным осуществлять такие действия в соответствии с законодательством РФ об электроэнергетике, в том числе порядок действий Потребителя и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оставщика в рамках указанных процедур, по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рядок сообщения о выходе прибора учета (измерительного комплекса, измерительных трансформаторов) из строя и его (их) утрате установлены Основными положениями функционирования розничных рынков электрической энергии и иными нормативными правовыми актами РФ.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3.5.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Объём принятой и подлежащей оплате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отребителем электрической энергии (мощности) определяется без учёта объёмов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потребления электрической энергии (мощности) субабонентов (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"прил_4"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2).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3.6.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случае, расположения объектов энергоснабжения потребителя в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нежилых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помещения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х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многоквартирных жилых дом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потребитель та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кже оплачивает объем потребленной электрической энергии на содержание общего имущества (далее – СОИ) многоквартирного дома. Расчет объема и стоимости потребленной электрической энергии на СОИ, производится в соответствии с требованиями законодательства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9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если прибор учета расположен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на границе балансовой принадлежности объектов электроэнергетики (энерг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опринимающих устройств) потребителя, объем потребления (производства, передачи) электрической энергии, определенный на основании показаний такого прибора учета, в целях осуществления расчетов по настоящему договору подлежит корректировке на величину потерь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электрической энергии, указанных в Приложении № 2 и Приложении № 3 к настоящему договору, возникающих на участке сети от границы балансовой принадлежности объектов электроэнергетики (энергопринимающих устройств) потребителя до места установки прибора учет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а. Расчет величины потерь в таком случае осуществляется сетевой организацией в соответствии с актом уполномоченного федерального органа, регламентирующим расчет нормативов технологических потерь электрической энергии при ее передаче по электрическим сетям.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9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если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определение объема потребленной энергии в рамках Договора осуществляется с использованием совокупности точек учета, при этом безучетное потребление выявлено только в отношени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 одной (нескольких) из используемых точек учета, при отсутствии согласованного в рамках Договора распределения величины максимальной мощности по точкам учета, расчет объема безучетного потребления производится расчетным способом, установленным действующим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законодательством РФ, с учетом распределения максимальной мощности энергопринимающих устройств в границах балансовой принадлежности по точкам учета пропорционально величине допустимой длительной токовой нагрузки соответствующего вводного провода (кабеля).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9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факту выявленного в ходе проверки безучетного потребления электрической энергии сетевой организацией составляется акт о неучтенном потреблении электрической энергии на основании, которого осуществляются расчеты за потребленную таким образом электроэнергию.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9"/>
        </w:numPr>
        <w:ind w:right="-1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Лицами, ответственными за снятие показаний расчетного прибора учета, являются: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567" w:leader="none"/>
        </w:tabs>
        <w:rPr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- сетевая организация в отношении приборов учета, присоединенных к интеллектуальным системам у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чета электрической энергии (мощности) соответствующей сетевой организации, а также иных расчетных приборов учета, расположенных в границах объектов электросетевого хозяйства сетевых организаций или в границах бесхозяйных объектов электросетевого хозяйства;</w:t>
      </w:r>
      <w:r>
        <w:rPr>
          <w:highlight w:val="white"/>
        </w:rPr>
      </w:r>
      <w:r>
        <w:rPr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567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- потребители, собственники (владельцы) объектов электросетевого хозяйства в отношении расчетных приборов учета, установленных в границах объектов таких лиц и не присоединенных к интеллектуальным системам учета электрической энергии (мощности).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9"/>
        </w:numPr>
        <w:ind w:left="0" w:right="-1" w:firstLine="284"/>
        <w:jc w:val="both"/>
        <w:keepNext/>
        <w:widowControl w:val="off"/>
        <w:tabs>
          <w:tab w:val="left" w:pos="567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имеют иные права и обязанности по обеспечению учёта потреблённой электрической энергии (мощности), а также несут иную ответственность, предусмотренные Договором и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9"/>
        </w:numPr>
        <w:jc w:val="center"/>
        <w:keepNext/>
        <w:spacing w:before="240"/>
        <w:widowControl w:val="off"/>
        <w:rPr>
          <w:rFonts w:ascii="Liberation Serif" w:hAnsi="Liberation Serif" w:cs="Liberation Serif"/>
          <w:b/>
          <w:sz w:val="18"/>
          <w:szCs w:val="18"/>
          <w:highlight w:val="white"/>
        </w:rPr>
        <w:outlineLvl w:val="0"/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Ограничение режима потребления электрической энергии (мощности).</w:t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p>
      <w:pPr>
        <w:pStyle w:val="931"/>
        <w:numPr>
          <w:ilvl w:val="1"/>
          <w:numId w:val="1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Порядок и основа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ния введения ограничения режима потребления энергии в отношении энергопринимающих устройств и (или) объектов электроэнергетики Потребителя по Договору, в том числе по инициативе поставщика, порядок и основания возобновления подачи энергии, устанавливаются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Правилами полного и (или) частичного ограничения режима потребления электрической энергии.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Уведомление потребителя о введении ограничения режима потребления электрической энергии (мощности) осуществляется любым из следующих способов: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вручение уведомления потребителю либо его представителю нарочно под расписку о вручении;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отправка уведомления заказным письмом на почтовый адрес потребителя, указанный в п.11.2 настоящего договора,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 уведомлением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о вручении почтового отправления;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отправка уведомления в электронном виде с использованием телекоммуникационных каналов связи и усиленной квалифицированной электронной подписи, в соответствии с требованиями п.6.7 настоящего договора;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отправка уведомления потребителю через «личный кабинет клиента» на официальном сайте поставщика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"http://www.saratovenergo.ru/"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www.saratovenergo.ru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 в информационно-телекоммуникационной сети «Интернет»;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отправка уведомления в сканированном виде на адрес электронной почты потребителя, указанный в п.11.2 договора;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посредством включения текста уведом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ления в счет на оплату потребленной электрической энергии (мощности), оказанных услуг по передаче электрической энергии и (или) услуг, оказание которых является неотъемлемой частью процесса поставки электрической энергии потребителю по настоящему договору;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отправка короткого текстового сообщения (смс-сообщение) на номер мобильного телефона потребителя, указанный в п.11.2 договора, и иным способом, позволяющим подтвердить доставку уведомления о введении ограничения режима потребления.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Возобновление подачи электрической энергии осуществляется после устранения Потребителем оснований для введения ограничения режима потребления в порядке и сроки, установленные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Правилами полного и (или) частичного ограничения режима потребления электрической энергии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Уведомление о введении ограничения режима потребления считается доставленным, а Потребитель надлежащим образом, уведомленным в день доставки Потребителю уведомления способами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указанными в соответствии с требованиями п.4.2. 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highlight w:val="white"/>
        </w:rPr>
      </w:r>
      <w:bookmarkStart w:id="7" w:name="_Hlk102121750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соглашаются и признают, что подтверждением надлежащего уведомлени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я Потребителя о введении ограничения режима потребления являются: по адресу электронной почты – распечатка страницы электронной почты с указанием даты и времени направления письма с отсканированным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текстом уведомления на адрес электронной почты Потребителя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указанный в п.11.2. Договора; посредством «Личного кабинета» – распечатка скриншота интернет-страницы «Личного кабинета», с указанием ее адреса, а также даты и времени размещения уведомления о введении ограничения, с отсканированным текстом уведомления.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left="360" w:right="-1"/>
        <w:jc w:val="both"/>
        <w:keepNext/>
        <w:widowControl w:val="off"/>
        <w:tabs>
          <w:tab w:val="left" w:pos="567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highlight w:val="white"/>
        </w:rPr>
      </w:r>
      <w:bookmarkEnd w:id="6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7"/>
        </w:numPr>
        <w:ind w:right="-1"/>
        <w:jc w:val="center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b/>
          <w:sz w:val="18"/>
          <w:szCs w:val="18"/>
          <w:highlight w:val="white"/>
        </w:rPr>
      </w:pPr>
      <w:r>
        <w:rPr>
          <w:highlight w:val="white"/>
        </w:rPr>
      </w:r>
      <w:bookmarkEnd w:id="7"/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Цена договора</w:t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p>
      <w:pPr>
        <w:pStyle w:val="931"/>
        <w:numPr>
          <w:ilvl w:val="1"/>
          <w:numId w:val="17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риентировочная цена настоящего договора составляет: ____________ тыс.руб., в том числе НДС ____________ тыс.руб. Ориентировочная цена рассчитана исходя из произведения договорного количества поставки электрической энергии (мощности) на прогнозные значения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цен, сформирован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ных на основании фактически сложившихся предельных уровней нерегулируемых цен на электрическую энергию (мощность) за последний месяц, с учетом выбранной Потребителем для расчетов ценовой категории указанной в Приложении № 1.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left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5"/>
        </w:numPr>
        <w:ind w:right="-1" w:firstLine="284"/>
        <w:jc w:val="center"/>
        <w:keepNext/>
        <w:widowControl w:val="off"/>
        <w:rPr>
          <w:rFonts w:ascii="Liberation Serif" w:hAnsi="Liberation Serif" w:cs="Liberation Serif"/>
          <w:b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Расчеты за электрическую энергию (мощность) и оказанные услуги.</w:t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p>
      <w:pPr>
        <w:pStyle w:val="931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Расчетным периодом считается календарный месяц, периоды платежей определяются сроками промежуточных платежей, установленных внутри расчетного периода. Поставщик производит расчёты за фактически по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требленную в расчетном периоде электрическ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ую энергию (мощности) и выставляет потребителю в сроки, указанные в настоящем договоре платёжные документы на оплату поставленной электрической энергии (мощности), а также иных оказанных услуг по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Поставщик производит расчёты и выставляет потребителю в сроки, указанные в настоящем договоре, счета-фактуры и счета на оплату: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потреблённой за расчётный период электрической энергии и мощности, объём которой сформирован в соответствии с условиями договора и действующего законодательства РФ;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безучётного потребления электрической энергии и мощности, при наличии надлежащим образом оформленного акта, подтверждающего данный факт и обоснованного расчёта объёмов безучётного потребления электрической энергии и мощности;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затрат, понесенных поставщиком в связи с введением в отношении потребителя, ограничения режима потребления электрической энергии (мощности), согласно пункта 2.2.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1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и порядка, предусмотренного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азделом 4 Договора, а также возобновления подачи электрической энергии (мощности) после устранения причин, явившихся основанием для ограничения режима потребления электрическо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й энергии (мощности). Расчёт стоимости оказанных поставщиком и сетевой организацией услуг производится поставщиком на основании калькуляций, утвержденных в установленном порядке, в рамках предельных значений, установленных действующим законодательством РФ;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неустойки за нарушение обязательств по оплате в соответствии с условиями пункта 7.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настоящего договора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убытков поставщика, причиненных неисполнением или ненадлежащим исполнением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отребителем обязанностей по обеспечению сохранности и целостности установленных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оставщиком приборов учета и (или) иного оборудования, которые используются для обеспечения коммерческого учета электрической энергии (мощности), согласно требованиям, п.3.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настоящего договора и требованиям действующего законодательства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Потребитель в течение текущего расчётного периода производит оплату поставщику за электрическую энергию и мощность, в следующие сроки: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- 30% стоимости электрической энергии (мощности) в подлежащем оплате объёме покупки в месяце, за который осуществляется оплата, вносится до 10-го числа этого месяца;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- 40% стоимости электрической энергии (мощности) в подлежащем оплате объёме покупки в месяце, за который осуществляется оплата, вносится до 25-го числа этого месяца.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Стоимость электрической энергии (мощности) в подлежащем оплате объёме покупки определяется исходя из нерегулируемых цен на электрическую энергию (мощность) за предшествующий расчётный период для соответствующей ценовой  категории с уч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ётом дифференциации нерегулируемых цен и фактического объёма потребления электрической энергии (мощности) за предшествующий расчётный период, без учёта объёмов поставки электрической энергии (мощности), приобретённой потребителем для поставки её населению.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выставления счёта для оплаты электрической энергии (мощности) до определения цены на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электрическую энергию (мощность) за предшествующий расчётный период для определения размера платежей используется нерегулируемая цена на электрическую энергию (мощность) за последний расчётный период, в отношении которого она определена и официально опубл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икована для соответствующей ценовой категории с учётом дифференциации нерегулируемых цен.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отсутствия сведений о фактическом объёме потребления электрической эне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ргии (мощности) за предшествующий расчётный период, об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ъём покупки электрической энергии (мощности) рассчитывается исходя из отношения максимальной мощности, указанной в приложении № 5 к настоящему договору, и коэффициента оплаты мощности, равного 0,002824.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1"/>
        </w:numPr>
        <w:ind w:left="0" w:right="-1" w:firstLine="284"/>
        <w:jc w:val="both"/>
        <w:keepNext/>
        <w:widowControl w:val="off"/>
        <w:tabs>
          <w:tab w:val="left" w:pos="28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Стоимость объема покупки электрической энергии и мощности, а также услуг по передаче электрической энергии в месяце, за который осуществляется оплата, за вычетом средств, внесе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нных Потребителем в качестве оплаты электрической энергии и мощности, услуг по передаче электрической энергии внесенных потребителем согласно требованиям, п.6.3. настоящего договора, оплачивается потребителем до 18-го числа месяца, следующего за расчетным.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Объем потребленной электрической энергии оплачивается по нерегулируемым ценам в рамках предельных уровней нерегулируемых цен, определяемых и применяемых в соответствии с Основные положения функционирования розничных рынков электрической энергии.</w:t>
      </w:r>
      <w:r>
        <w:rPr>
          <w:rFonts w:ascii="Liberation Serif" w:hAnsi="Liberation Serif" w:cs="Liberation Serif"/>
          <w:i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случае, если размер оплаты, произведенной потребителем в соответствии с требованиями пункта 6.3. настоящего догов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ора, превысит стоимость фактического объема покупки электрической энергии (мощности) в месяце, за который осуществляется оплата, излишне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уплаченная сумма засчитывается в счет платежа за месяц, следующий за месяцем, в котором была осуществлена такая оплата.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Поставщик в срок до 16 числа месяца, следующего за расчётным, выставляет потребителю следующие документы: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3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акт приема-передачи электрической энергии (мощности) за расчётный период;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3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счёт-фактуру на объём и стоимость потреблённой электрической энергии и мощности, и другие услуги, неразрывно связанные с процессом передачи электрической энергии;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3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корректировочные либо исправительные счёта-фактуры за периоды, предшествующие расчётному, при наличии оснований;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3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изменение в акты об объёме фактически потреблённой электрической энергии и мощности за периоды, предшествующие расчётному, при наличии оснований;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3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сч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ёт (единый или раздельные счета) на суммы, подлежащие оплате потребителем в адрес поставщика, по итогам расчётного периода.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Потребитель не позднее 3 рабочих дней с момента получения от поставщика акта приема-передачи электрической энергии (мощности) за расчётный период, или изменений в акт за период, предшествующий р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асчётному, направленных поставщиком в соответствии с требованиями пункта 6.5. договора, направляет способами, указанными в п. 6.7 настоящего договора, поставщику подписанный со своей стороны экземпляр данного акта, либо мотивированный письменный отказ от 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го подписания. В случае если в течении 3 рабочих дней с момента получения акта приема-передачи потребитель не подпишет его либо не предоставит поставщику мотивированные возражения  по нему, акт приема-передачи считается согласованным со стороны потребителя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</w:t>
      </w:r>
      <w:bookmarkStart w:id="8" w:name="п_6_8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пришли к соглашению об использовании электронного документооборота при выставлении поставщиком и получении Потребителем актов приема-передачи, счетов-фактур, счетов на оплату энергии (мощности), универсальных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передаточных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документов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(при уведомлении Поставщика не менее чем за 5 рабочих дней до начала расчетного периода)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претензий (требований), в соответствии с одним из нижеследующих вариантов:</w:t>
      </w:r>
      <w:bookmarkEnd w:id="8"/>
      <w:r>
        <w:rPr>
          <w:highlight w:val="white"/>
        </w:rPr>
      </w:r>
      <w:bookmarkStart w:id="9" w:name="_Hlk102559560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Обмен электронными документами, подписанными усиленной квалифицированной электронной подписью, посредством системы электронного документооборота (Диадок / СБИС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/ др.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)_____________________________, оператором которой является___________________________________________, (АО «ПФ «СКБ Контур» / ООО «Компания «Тензор»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/ др.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)                                                                                                                                                   по телекоммуникацион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ным каналам связи – в порядке, установленном настоящим Договором, действующим законодательством РФ, а также договорами об обмене электронными документами, заключенными Сторонами с соответствующим оператором электронного документооборота (далее – Оператор).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highlight w:val="white"/>
        </w:rPr>
      </w:r>
      <w:bookmarkEnd w:id="9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Для участия в электронном документообороте и соблюдения условий Договора в части выставления и получения электронных документов Сторонам следует: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а) иметь действующий сертификат квалифицированной электронной подписи, используемый для сдачи отчётности в контролирующие органы через «Интернет»;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б) оформить и предоставить Оператору заявление об участии в электронном документообороте по телекоммуникационным каналам связи;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в) заключить с Оператором договор об участии в электронном документообороте;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г) получить у Оператора идентификатор участника электронного документооборота, реквизиты доступа и другие данные, необходимые для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подключения к электронному документообороту по телекоммуникационным каналам связи, а также при необходимости настроить роуминг (функцию межоператорского взаимодействия для обмена электронными данными) между операт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орами электронного документооборота Сторон;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д) после входа в систему электронного документооборота добавить другую Сторону Договора в список контрагентов.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Каждая Сторона вправе приостановить электронный документооборот на основании письменного уведомления другой Стороны. В уведомле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нии указываются причины, дата начала приостановления и срок приостановления электронного документооборота. На период приостановления электронного документооборота в целях обмена платежно-расчетными документами Стороны переходят к варианту, описанному в п.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6.7.2. договора, либо на бумажный документооборот. В указанном случае Стороны вправе согласовать иные способ и место получения счетов и первичных учетных документов на оплату энергии (мощности) по Договору посредством заключения дополнительного соглашения.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Возобновление электронного документооборота производится на основании письменного уведомления Стороной – инициатором приост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ановления электронного документооборота другой Стороны.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отсутствии у Сторон(ы) доступа к систем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 электронного документооборота поставщик направляет Потребителю счета, акт приема-передачи энергии (мощности) и счет-фактуру за расчетный период через «Личный кабинет», а при недоступности «Личного кабинета», или отсутствии у Потребителя регистрации в «Ли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чном кабинете» на адрес электронной почты, указанный Потребителем в п. 11.2 договора. Поставщик имеет право направлять по электронной почте первичные документы с любых адресов, имеющих в названии доменное имя sarenergo.ru или interrao.ru, а также с адрес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"mailto:noreply@mpi.sarenergo.ru"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5"/>
          <w:rFonts w:ascii="Liberation Serif" w:hAnsi="Liberation Serif" w:cs="Liberation Serif"/>
          <w:sz w:val="18"/>
          <w:szCs w:val="18"/>
          <w:highlight w:val="white"/>
        </w:rPr>
        <w:t xml:space="preserve">noreply@mpi.sarenergo.ru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случае, отсутствии возможности у потребителя получения информации способами, указанными в п. 6.7.1 и 6.7.2, оригиналы сч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етов (счета-фактуры), актов приема-передачи энергии на бумажном носителе, подписанные уполномоченным лицом поставщика, выдаются Потребителю по его письменному запросу в течение 5 рабочих дней и подлежат получению Потребителем в месте нахождения поставщика.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2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получении Потребителем первичных до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кументов (актов приема-передачи энергии (мощности), счетов-фактур за расчетный период) одновременно в соответствие с п. 6.7.1 и п. 6.7.2. настоящего Договора приоритет имеют документы, направленные/полученные в соответствие с п. 6.7.1. 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Пост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авщик в течение 5 рабочих дней со дня получении уведомления от потребителя о намерении отказаться от исполнения настоящего договора полностью или уменьшить объемы приобретаемой электрической энергии и мощности направляет потребителю счет, выставленный в со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ответствии с требованиями Основных положений функционирования розничных рынков электрической энергии. Выставленный поставщиком счет должен быть оплачен потребителем не позднее чем за 10 рабочих дней до заявленной им даты расторжения или изменения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на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личии сумм, излишне внесенных потребителем в счет оплаты электрической энергии (мощности), поставщик направляет потребителю соответствующее извещение в течение 5 рабочих дней со дня получения уведомления о расторжении или изменении договора от потребителя.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Для осуществления окончательных расчетов за электрическую энергию (мощность) потребитель обязан обеспечить предоставление поставщику показаний приборов учета, используемых для расчетов по договору, на дату расторжения или изменения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Окончательные расчеты за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электрическую энергию (мощность) должны быть произведены сторонами договора не позднее 5 рабочих дней после определения предельных уровней нерегулируемых цен за соответствующий расчетный период.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Плата считается произведенной со дня зачисления денежных средств на расчётный счет поставщика, указанный в настоящем договоре или сообщённый письмом поставщика. Доказательством оплаты является представленная банком выписка из лицевого счета поставщика.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Сверка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расчетов за потребленную электрическую энергию производиться по требованию поставщ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ика (но не реже 1 раза в квартал), с оформлением актов сверки расчетов в двух экземплярах, по форме установленной поставщиком. Акты сверки расчетов подписываются потребителем в течении 14 (четырнадцати) дней с момента его получения от поставщика. В случае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если в течении 14 (четырнадцати) дней с момента получения акт сверки потребитель не подпишет его и не предоставит поставщику мотивированные возражения по нему, способом указанным в п.6.7. настоящего договора, акт сверки считается согласованным потребителем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6.11.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случае, если потребитель в платёжном документе не указал назначение платежа либо указал его некорректно, сумма произведенного платежа распределяется в следующей последовательности: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задолженность потребителя по прошедшим неоплаченным плановым платежам (расчётным периодам);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плановый платеж потребителя текущего периода;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плановый платеж потребителя последующего периода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;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неустойка за нарушение обязательств по оплате, в соответствии с условиями пункта 7.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6.12.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Стороны имеют иные права и обязанности, а также несут иную ответственность, предусмотренные Договором и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0"/>
          <w:numId w:val="11"/>
        </w:numPr>
        <w:jc w:val="center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Ответственность сторон за нарушение условий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7.1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Стороны освобождаются от ответственности за неисполнение или ненадлежащее исполнение обязательств по настоящему договору, если это неисполнение явилось следствием обстоятельств непреодолимой силы, возни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кших после заключения договора – стихийные бедствия, военные действия любого характера, действия третьих лиц, акты государственных органов власти, препятствующие выполнению условий настоящего договора. Сторона, ссылающаяся на обстоятельства непреодолимой с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илы, обязана незамедлительно информировать в письменном виде другую сторону о наступлении подобных обстоятельств. Если указанные обстоятельства длятся свыше одного месяца, стороны проводят переговоры с целью достижения приемлемого для обеих сторон решения.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7.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Потребитель несвоевременно и (или) не полностью оплативший электрическую энергию Поставщику, в том числе 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 промежуточным платежам, предусмотренным п.6.3. настоящего договора, обязан оплатить ему пени в размере и порядке, установленном требованиями Федерального закона от 26.03.2003 № 35-ФЗ «Об электроэнергетике» и иных действующих нормативных правовых актов.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both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right="-1" w:firstLine="284"/>
        <w:jc w:val="center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8. Порядок разрешения споров.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20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Во всех случаях, не предусмотренных нас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тоящим договором, стороны руководствуются действующим законодательством РФ, решениями органов исполнительной власти, уполномоченных в области государственного регулирования тарифов, другими действующими нормативными и правовыми актами Российской Федерации.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Споры, связанные с неисполнением или ненадлежащим исполнением настоящего договора, рассматриваются в Арбитражном суде Саратовской области.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numPr>
          <w:ilvl w:val="1"/>
          <w:numId w:val="20"/>
        </w:numPr>
        <w:ind w:left="0"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Претензионный порядок считается соблюденным по истечении пяти дней со дня направления претензии (требования) потребителю любым из следующих способов: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ind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а) вручение потребителю либо его представителю нарочно под расписку о вручении;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ind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б) отправка заказным письмом на почтовый адрес потребителя, указанный в п.11.2 настоящего договора;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ind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в) </w:t>
        <w:tab/>
        <w:t xml:space="preserve">в электронном виде с использованием телекоммуникационных каналов связи и усиленной квалифицированной электронной подписи, посредством системы электронного документооборота, в соответствии с требованиями п.6.7.1 настоящего договора;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ind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г)</w:t>
        <w:tab/>
        <w:t xml:space="preserve">через «личный кабинет клиента» на официальном сайте поставщика www.saratovenergo.ru в информационно-телекоммуникационной сети «Интернет»;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ind w:right="0"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д)</w:t>
        <w:tab/>
        <w:t xml:space="preserve">в сканированном виде на адрес электронной почты потребителя, указанный в п.11.2 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ind w:right="0"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numPr>
          <w:ilvl w:val="0"/>
          <w:numId w:val="20"/>
        </w:numPr>
        <w:ind w:right="0"/>
        <w:jc w:val="center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b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Конфиденциальность.</w:t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p>
      <w:pPr>
        <w:pStyle w:val="931"/>
        <w:numPr>
          <w:ilvl w:val="1"/>
          <w:numId w:val="20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в течение срока действия настоящего договора, а также в течение 3 (трёх) лет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Договора (в том числе персональных данных), за исключением информации и данных, явл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яющихся общедоступными (далее -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20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 152-ФЗ от 27.07.2006 года.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20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Не является нарушением конфиденциальности предоставле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ние конфиденциальной информации по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законному требованию правоохранительных и иных уполномоченных государственных органов, и должностных лиц в случаях и в порядке, предусмотренных применимым законодательством. Договор может быть передан системообразующей территориальной сетевой организации.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left="644" w:right="-1"/>
        <w:jc w:val="center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10. Срок действия и порядок изменения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15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Настоящий договор вступает в силу с момента его подписания с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торонами, распространяет своё действие на отношения сторон, возникшие с 00 часов 00  минут «___»_________ 202___г. и действует до 24 часов 00  минут  «___» ________ 202__г., а в части оплаты по договору, до полного исполнения обязательств Сторон.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Исполнение обязательств поставщика по настоящему договору осуществляется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в соответствии с действующим законо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Прекращение (приостановление) действия настоящего договора не освобождает стороны от обязательств по возмещению имеющейся дебиторской или кредиторской задолженности, возникшей при исполнении 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numPr>
          <w:ilvl w:val="1"/>
          <w:numId w:val="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Изменения условий настоящего договора и дополнения к нему производятся путём заключения дополнительных соглашений, подписанных обеими сторонами, в течение всего срока действия 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center"/>
        <w:keepNext/>
        <w:spacing w:before="240"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0"/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Приложения к договору: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highlight w:val="white"/>
        </w:rPr>
      </w:r>
      <w:bookmarkStart w:id="10" w:name="прил_1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1: </w:t>
      </w:r>
      <w:bookmarkEnd w:id="10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«Договорные объемы потребления электрической энергии и мощности» - </w:t>
      </w:r>
      <w:r>
        <w:rPr>
          <w:rFonts w:ascii="Liberation Serif" w:hAnsi="Liberation Serif" w:cs="Liberation Serif"/>
          <w:i/>
          <w:sz w:val="18"/>
          <w:szCs w:val="18"/>
          <w:highlight w:val="white"/>
        </w:rPr>
        <w:t xml:space="preserve">Формируется поставщиком на основании заявки потребителя;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highlight w:val="white"/>
        </w:rPr>
      </w:r>
      <w:bookmarkStart w:id="11" w:name="прил_4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2: «Перечень субабонентов потребителя» - </w:t>
      </w:r>
      <w:r>
        <w:rPr>
          <w:rFonts w:ascii="Liberation Serif" w:hAnsi="Liberation Serif" w:cs="Liberation Serif"/>
          <w:i/>
          <w:sz w:val="18"/>
          <w:szCs w:val="18"/>
          <w:highlight w:val="white"/>
        </w:rPr>
        <w:t xml:space="preserve">Формируется поставщиком на основании данных, предоставленных потребителем и (или) собственной информации поставщика о наличии заключенных с субабонентами договоров;</w:t>
      </w:r>
      <w:bookmarkEnd w:id="11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3: «Адреса установки и спецификация приборов учёта потребителя» - </w:t>
      </w:r>
      <w:r>
        <w:rPr>
          <w:rFonts w:ascii="Liberation Serif" w:hAnsi="Liberation Serif" w:cs="Liberation Serif"/>
          <w:i/>
          <w:sz w:val="18"/>
          <w:szCs w:val="18"/>
          <w:highlight w:val="white"/>
        </w:rPr>
        <w:t xml:space="preserve">Формируется поставщиком на основании данных, предоставленных потребителем;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4: «Акт согласования технологической и аварийной брони» - </w:t>
      </w:r>
      <w:r>
        <w:rPr>
          <w:rFonts w:ascii="Liberation Serif" w:hAnsi="Liberation Serif" w:cs="Liberation Serif"/>
          <w:i/>
          <w:sz w:val="18"/>
          <w:szCs w:val="18"/>
          <w:highlight w:val="white"/>
        </w:rPr>
        <w:t xml:space="preserve">предоставляется поставщику потребителем и оформляется с сетевой организацией потребителем самостоятельно при наличии у потребителя объектов электроснабжения ограничение режима потреблени</w:t>
      </w:r>
      <w:r>
        <w:rPr>
          <w:rFonts w:ascii="Liberation Serif" w:hAnsi="Liberation Serif" w:cs="Liberation Serif"/>
          <w:i/>
          <w:sz w:val="18"/>
          <w:szCs w:val="18"/>
          <w:highlight w:val="white"/>
        </w:rPr>
        <w:t xml:space="preserve">я электрической энергии (мощности) которого может привести к возникновению угрозы жизни и здоровью людей, экономическим, экологическим, социальным последствиям и (или) безопасности государства, к необратимому нарушению непрерывных технологических процессов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5: «Перечень точек поставки электрической энергии» - </w:t>
      </w:r>
      <w:r>
        <w:rPr>
          <w:rFonts w:ascii="Liberation Serif" w:hAnsi="Liberation Serif" w:cs="Liberation Serif"/>
          <w:i/>
          <w:sz w:val="18"/>
          <w:szCs w:val="18"/>
          <w:highlight w:val="white"/>
        </w:rPr>
        <w:t xml:space="preserve">Формируется поставщиком на основании документов, предоставленных потребителем при заключении настоящего договора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6: «Согласие на обработку персональных данных»;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7: «Формат предоставления почасовых данных об объёмах потребления электрической энергии (мощности) за расчётный период» - </w:t>
      </w:r>
      <w:r>
        <w:rPr>
          <w:rFonts w:ascii="Liberation Serif" w:hAnsi="Liberation Serif" w:cs="Liberation Serif"/>
          <w:i/>
          <w:sz w:val="18"/>
          <w:szCs w:val="18"/>
          <w:highlight w:val="white"/>
        </w:rPr>
        <w:t xml:space="preserve">Оформляется при использовании в расчётах с 3 по 6 ЦК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Приложение № 7.1. «Формат предоставления интегральных данных об объёмах потребления электрической энергии (мощности) за расчётный период».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Настоящий договор с приложениями (являющимися неотъемлемой частью договора) составлен в двух экземплярах (по одному для каждой из сторон), имеющих равную юридическую силу.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ind w:firstLine="284"/>
        <w:jc w:val="center"/>
        <w:keepNext/>
        <w:spacing w:before="240"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11. Юридические адреса Сторон и банковские реквизиты: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9"/>
        <w:ind w:left="-284"/>
        <w:jc w:val="center"/>
        <w:keepNext/>
        <w:widowControl w:val="off"/>
        <w:rPr>
          <w:rFonts w:ascii="Liberation Serif" w:hAnsi="Liberation Serif" w:cs="Liberation Serif"/>
          <w:b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tbl>
      <w:tblPr>
        <w:tblW w:w="0" w:type="auto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99"/>
        <w:gridCol w:w="4958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99" w:type="dxa"/>
            <w:vAlign w:val="top"/>
            <w:textDirection w:val="lrTb"/>
            <w:noWrap w:val="false"/>
          </w:tcPr>
          <w:p>
            <w:pPr>
              <w:pStyle w:val="931"/>
              <w:ind w:right="-1"/>
              <w:jc w:val="center"/>
              <w:keepNext/>
              <w:widowControl w:val="off"/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11.1 Поставщик ПАО «Саратовэнерго»: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8" w:type="dxa"/>
            <w:vAlign w:val="top"/>
            <w:textDirection w:val="lrTb"/>
            <w:noWrap w:val="false"/>
          </w:tcPr>
          <w:p>
            <w:pPr>
              <w:pStyle w:val="931"/>
              <w:ind w:right="-1"/>
              <w:jc w:val="center"/>
              <w:keepNext/>
              <w:widowControl w:val="off"/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11.2. Потребитель: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</w:tc>
      </w:tr>
      <w:tr>
        <w:tblPrEx/>
        <w:trPr>
          <w:trHeight w:val="230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99" w:type="dxa"/>
            <w:vAlign w:val="top"/>
            <w:textDirection w:val="lrTb"/>
            <w:noWrap w:val="false"/>
          </w:tcPr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Адрес: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ул.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Банковские реквизиты: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р/с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БИК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ИНН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ОКВЭД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ОКПО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Банк: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Адрес официального сайта ПАО «Саратовэнерго» 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begin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instrText xml:space="preserve"> HYPERLINK "http://www.saratovenergo.ru/"</w:instrTex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separate"/>
            </w:r>
            <w:r>
              <w:rPr>
                <w:rStyle w:val="1005"/>
                <w:rFonts w:ascii="Liberation Serif" w:hAnsi="Liberation Serif" w:cs="Liberation Serif"/>
                <w:color w:val="000000"/>
                <w:sz w:val="18"/>
                <w:szCs w:val="18"/>
                <w:highlight w:val="white"/>
              </w:rPr>
              <w:t xml:space="preserve">http://www.saratovenergo.ru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end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Адресная ссылка личного кабинет юридического лица (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begin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instrText xml:space="preserve"> HYPERLINK "https://lk.saratovenergo.ru/" \l "login"</w:instrTex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separate"/>
            </w:r>
            <w:r>
              <w:rPr>
                <w:rStyle w:val="1005"/>
                <w:rFonts w:ascii="Liberation Serif" w:hAnsi="Liberation Serif" w:cs="Liberation Serif"/>
                <w:color w:val="000000"/>
                <w:sz w:val="18"/>
                <w:szCs w:val="18"/>
                <w:highlight w:val="white"/>
              </w:rPr>
              <w:t xml:space="preserve">https://lk.saratovenergo.ru/#login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end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)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Адрес электронной почты для передачи показаний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begin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instrText xml:space="preserve"> HYPERLINK "mailto:pokazaniapuul@interrao.ru"</w:instrTex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separate"/>
            </w:r>
            <w:r>
              <w:rPr>
                <w:rStyle w:val="1005"/>
                <w:rFonts w:ascii="Liberation Serif" w:hAnsi="Liberation Serif" w:cs="Liberation Serif"/>
                <w:color w:val="000000"/>
                <w:sz w:val="18"/>
                <w:szCs w:val="18"/>
                <w:highlight w:val="white"/>
              </w:rPr>
              <w:t xml:space="preserve">pokazaniapuul@interrao.ru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end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Адрес официальной почты ПАО «Саратовэнерго»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begin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instrText xml:space="preserve"> HYPERLINK "mailto:office@sarenergo.ru"</w:instrTex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separate"/>
            </w:r>
            <w:r>
              <w:rPr>
                <w:rStyle w:val="1005"/>
                <w:rFonts w:ascii="Liberation Serif" w:hAnsi="Liberation Serif" w:cs="Liberation Serif"/>
                <w:color w:val="000000"/>
                <w:sz w:val="18"/>
                <w:szCs w:val="18"/>
                <w:highlight w:val="white"/>
              </w:rPr>
              <w:t xml:space="preserve">office@sarenergo.ru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fldChar w:fldCharType="end"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8" w:type="dxa"/>
            <w:vAlign w:val="top"/>
            <w:textDirection w:val="lrTb"/>
            <w:noWrap w:val="false"/>
          </w:tcPr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Адрес: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ул.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Почтовый адрес _____________________________________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____________________________________________________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Банковские реквизиты: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р/с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БИК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ИНН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ОКВЭД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ОКПО</w:t>
              <w:tab/>
              <w:t xml:space="preserve"> 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Банк: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Мобильный телефон для передачи смс-сообщений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______________________________________________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Телефон приемной______________________________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Телефон гл.энергетика 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Телефон бухгалтерии ____________________________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 xml:space="preserve">Адрес официальной эл.почты_________________________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057" w:type="dxa"/>
            <w:vAlign w:val="top"/>
            <w:textDirection w:val="lrTb"/>
            <w:noWrap w:val="false"/>
          </w:tcPr>
          <w:p>
            <w:pPr>
              <w:pStyle w:val="931"/>
              <w:ind w:left="-284" w:right="-1"/>
              <w:jc w:val="center"/>
              <w:keepNext/>
              <w:widowControl w:val="off"/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  <w:highlight w:val="white"/>
              </w:rPr>
              <w:t xml:space="preserve">Подписи Сторон:</w:t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  <w:p>
            <w:pPr>
              <w:pStyle w:val="931"/>
              <w:ind w:left="-284"/>
              <w:keepNext/>
              <w:widowControl w:val="off"/>
              <w:tabs>
                <w:tab w:val="left" w:pos="3968" w:leader="none"/>
              </w:tabs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  <w:tab/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  <w:r>
              <w:rPr>
                <w:rFonts w:ascii="Liberation Serif" w:hAnsi="Liberation Serif" w:cs="Liberation Serif"/>
                <w:sz w:val="18"/>
                <w:szCs w:val="18"/>
                <w:highlight w:val="white"/>
              </w:rPr>
            </w:r>
          </w:p>
        </w:tc>
      </w:tr>
    </w:tbl>
    <w:p>
      <w:pPr>
        <w:pStyle w:val="931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Поставщик</w:t>
        <w:tab/>
        <w:tab/>
        <w:tab/>
        <w:tab/>
        <w:tab/>
        <w:tab/>
        <w:t xml:space="preserve">Потребитель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keepNext/>
        <w:widowControl w:val="off"/>
        <w:rPr>
          <w:rFonts w:ascii="Liberation Serif" w:hAnsi="Liberation Serif" w:cs="Liberation Serif"/>
          <w:b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p>
      <w:pPr>
        <w:pStyle w:val="931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_______________________/____________________</w:t>
        <w:tab/>
        <w:tab/>
        <w:t xml:space="preserve">______________________________/___________________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31"/>
        <w:keepNext/>
        <w:widowControl w:val="off"/>
        <w:rPr>
          <w:vanish/>
          <w:highlight w:val="white"/>
        </w:rPr>
      </w:pPr>
      <w:r>
        <w:rPr>
          <w:highlight w:val="whit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2" behindDoc="0" locked="0" layoutInCell="0" allowOverlap="1">
                <wp:simplePos x="0" y="0"/>
                <wp:positionH relativeFrom="column">
                  <wp:posOffset>694690</wp:posOffset>
                </wp:positionH>
                <wp:positionV relativeFrom="paragraph">
                  <wp:posOffset>6581793</wp:posOffset>
                </wp:positionV>
                <wp:extent cx="6755130" cy="403860"/>
                <wp:effectExtent l="0" t="0" r="0" b="0"/>
                <wp:wrapNone/>
                <wp:docPr id="1" name="_x0000_s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5513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251658242;o:allowoverlap:true;o:allowincell:false;mso-position-horizontal-relative:text;margin-left:54.70pt;mso-position-horizontal:absolute;mso-position-vertical-relative:text;margin-top:518.25pt;mso-position-vertical:absolute;width:531.90pt;height:31.80pt;mso-wrap-distance-left:9.00pt;mso-wrap-distance-top:0.00pt;mso-wrap-distance-right:9.00pt;mso-wrap-distance-bottom:0.00pt;visibility:visible;" fillcolor="#FFFFFF" strokecolor="#FFFFFF" strokeweight="0.74pt"/>
            </w:pict>
          </mc:Fallback>
        </mc:AlternateConten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м.п.</w:t>
        <w:tab/>
        <w:tab/>
        <w:tab/>
        <w:tab/>
        <w:tab/>
        <w:tab/>
        <w:tab/>
        <w:t xml:space="preserve">м.п.</w:t>
      </w:r>
      <w:r>
        <w:rPr>
          <w:highlight w:val="whit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0" allowOverlap="1">
                <wp:simplePos x="0" y="0"/>
                <wp:positionH relativeFrom="column">
                  <wp:posOffset>694690</wp:posOffset>
                </wp:positionH>
                <wp:positionV relativeFrom="paragraph">
                  <wp:posOffset>2764448</wp:posOffset>
                </wp:positionV>
                <wp:extent cx="6831330" cy="45720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8313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524288;o:allowoverlap:true;o:allowincell:false;mso-position-horizontal-relative:text;margin-left:54.70pt;mso-position-horizontal:absolute;mso-position-vertical-relative:text;margin-top:217.67pt;mso-position-vertical:absolute;width:537.90pt;height:36.00pt;mso-wrap-distance-left:9.00pt;mso-wrap-distance-top:0.00pt;mso-wrap-distance-right:9.00pt;mso-wrap-distance-bottom:0.00pt;visibility:visible;" fillcolor="#FFFFFF" stroked="f"/>
            </w:pict>
          </mc:Fallback>
        </mc:AlternateContent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0" allowOverlap="1">
                <wp:simplePos x="0" y="0"/>
                <wp:positionH relativeFrom="column">
                  <wp:posOffset>736600</wp:posOffset>
                </wp:positionH>
                <wp:positionV relativeFrom="paragraph">
                  <wp:posOffset>2938145</wp:posOffset>
                </wp:positionV>
                <wp:extent cx="6523990" cy="398145"/>
                <wp:effectExtent l="0" t="0" r="0" b="0"/>
                <wp:wrapNone/>
                <wp:docPr id="3" name="_x0000_s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523990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type="#_x0000_t1" style="position:absolute;z-index:251658241;o:allowoverlap:true;o:allowincell:false;mso-position-horizontal-relative:text;margin-left:58.00pt;mso-position-horizontal:absolute;mso-position-vertical-relative:text;margin-top:231.35pt;mso-position-vertical:absolute;width:513.70pt;height:31.35pt;mso-wrap-distance-left:9.00pt;mso-wrap-distance-top:0.00pt;mso-wrap-distance-right:9.00pt;mso-wrap-distance-bottom:0.00pt;visibility:visible;" fillcolor="#FFFFFF" strokecolor="#FFFFFF" strokeweight="0.74pt"/>
            </w:pict>
          </mc:Fallback>
        </mc:AlternateContent>
      </w:r>
      <w:r>
        <w:rPr>
          <w:vanish/>
          <w:highlight w:val="white"/>
        </w:rPr>
      </w:r>
      <w:r>
        <w:rPr>
          <w:vanish/>
          <w:highlight w:val="white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640" w:right="282" w:bottom="890" w:left="992" w:header="0" w:footer="2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Verdana">
    <w:panose1 w:val="020B0604030504040204"/>
  </w:font>
  <w:font w:name="Tahoma">
    <w:panose1 w:val="020B0604030504040204"/>
  </w:font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Noto Sans Devanagari">
    <w:panose1 w:val="020B0502040504020204"/>
  </w:font>
  <w:font w:name="StarSymbol">
    <w:panose1 w:val="02000603000000000000"/>
  </w:font>
  <w:font w:name="Symbol">
    <w:panose1 w:val="05010000000000000000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8"/>
      <w:ind w:right="-1"/>
      <w:tabs>
        <w:tab w:val="clear" w:pos="8306" w:leader="none"/>
      </w:tabs>
    </w:pPr>
    <w:r>
      <w:t xml:space="preserve">стр. </w:t>
    </w:r>
    <w:r>
      <w:rPr>
        <w:rStyle w:val="1004"/>
      </w:rPr>
      <w:fldChar w:fldCharType="begin"/>
    </w:r>
    <w:r>
      <w:rPr>
        <w:rStyle w:val="1004"/>
      </w:rPr>
      <w:instrText xml:space="preserve"> PAGE </w:instrText>
    </w:r>
    <w:r>
      <w:rPr>
        <w:rStyle w:val="1004"/>
      </w:rPr>
      <w:fldChar w:fldCharType="separate"/>
    </w:r>
    <w:r>
      <w:rPr>
        <w:rStyle w:val="1004"/>
      </w:rPr>
      <w:t xml:space="preserve">2</w:t>
    </w:r>
    <w:r>
      <w:rPr>
        <w:rStyle w:val="1004"/>
      </w:rPr>
      <w:fldChar w:fldCharType="end"/>
    </w:r>
    <w:r>
      <w:rPr>
        <w:rStyle w:val="1004"/>
      </w:rPr>
      <w:t xml:space="preserve"> из </w:t>
    </w:r>
    <w:r>
      <w:rPr>
        <w:rStyle w:val="1004"/>
      </w:rPr>
      <w:fldChar w:fldCharType="begin"/>
    </w:r>
    <w:r>
      <w:rPr>
        <w:rStyle w:val="1004"/>
      </w:rPr>
      <w:instrText xml:space="preserve"> NUMPAGES \* ARABIC </w:instrText>
    </w:r>
    <w:r>
      <w:rPr>
        <w:rStyle w:val="1004"/>
      </w:rPr>
      <w:fldChar w:fldCharType="separate"/>
    </w:r>
    <w:r>
      <w:rPr>
        <w:rStyle w:val="1004"/>
      </w:rPr>
      <w:t xml:space="preserve">9</w:t>
    </w:r>
    <w:r>
      <w:rPr>
        <w:rStyle w:val="1004"/>
      </w:rPr>
      <w:fldChar w:fldCharType="end"/>
    </w:r>
    <w:r>
      <w:rPr>
        <w:rStyle w:val="1004"/>
      </w:rPr>
      <w:t xml:space="preserve">       __________________ Поставщик                                                        __________________ Потребитель</w:t>
    </w:r>
    <w:r/>
  </w:p>
  <w:p>
    <w:pPr>
      <w:pStyle w:val="1018"/>
      <w:ind w:right="-1"/>
      <w:tabs>
        <w:tab w:val="clear" w:pos="8306" w:leader="none"/>
      </w:tabs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7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56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0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784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712" w:hanging="1440"/>
        <w:tabs>
          <w:tab w:val="num" w:pos="0" w:leader="none"/>
        </w:tabs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32" w:hanging="432"/>
        <w:tabs>
          <w:tab w:val="num" w:pos="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574" w:hanging="432"/>
        <w:tabs>
          <w:tab w:val="num" w:pos="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ind w:left="1146" w:hanging="720"/>
        <w:tabs>
          <w:tab w:val="num" w:pos="142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146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288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79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932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434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76" w:hanging="144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288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212" w:hanging="212"/>
        <w:tabs>
          <w:tab w:val="num" w:pos="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ind w:left="354" w:hanging="21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856" w:hanging="572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998" w:hanging="572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140" w:hanging="57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642" w:hanging="932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784" w:hanging="932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286" w:hanging="1292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428" w:hanging="1292"/>
        <w:tabs>
          <w:tab w:val="num" w:pos="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72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</w:lvl>
  </w:abstractNum>
  <w:abstractNum w:abstractNumId="5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384" w:hanging="384"/>
        <w:tabs>
          <w:tab w:val="num" w:pos="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384" w:hanging="384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  <w:tabs>
          <w:tab w:val="num" w:pos="0" w:leader="none"/>
        </w:tabs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84" w:hanging="384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526" w:hanging="384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004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146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288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79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932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2434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576" w:hanging="1440"/>
        <w:tabs>
          <w:tab w:val="num" w:pos="0" w:leader="none"/>
        </w:tabs>
      </w:pPr>
    </w:lvl>
  </w:abstractNum>
  <w:abstractNum w:abstractNumId="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288" w:hanging="360"/>
        <w:tabs>
          <w:tab w:val="num" w:pos="0" w:leader="none"/>
        </w:tabs>
      </w:pPr>
      <w:rPr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644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004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7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56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0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784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712" w:hanging="1440"/>
        <w:tabs>
          <w:tab w:val="num" w:pos="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644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7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56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0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784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712" w:hanging="1440"/>
        <w:tabs>
          <w:tab w:val="num" w:pos="0" w:leader="none"/>
        </w:tabs>
      </w:pPr>
    </w:lvl>
  </w:abstractNum>
  <w:abstractNum w:abstractNumId="12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1288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360" w:hanging="360"/>
        <w:tabs>
          <w:tab w:val="num" w:pos="-928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644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28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57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856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50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2784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42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3712" w:hanging="1440"/>
        <w:tabs>
          <w:tab w:val="num" w:pos="0" w:leader="none"/>
        </w:tabs>
      </w:p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502" w:hanging="360"/>
        <w:tabs>
          <w:tab w:val="num" w:pos="-78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0" w:leader="none"/>
        </w:tabs>
      </w:p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288" w:hanging="360"/>
        <w:tabs>
          <w:tab w:val="num" w:pos="0" w:leader="none"/>
        </w:tabs>
      </w:pPr>
      <w:rPr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7"/>
      <w:numFmt w:val="decimal"/>
      <w:isLgl w:val="false"/>
      <w:suff w:val="tab"/>
      <w:lvlText w:val="%1.%2."/>
      <w:lvlJc w:val="left"/>
      <w:pPr>
        <w:ind w:left="644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7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56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0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784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712" w:hanging="1440"/>
        <w:tabs>
          <w:tab w:val="num" w:pos="0" w:leader="none"/>
        </w:tabs>
      </w:pPr>
    </w:lvl>
  </w:abstractNum>
  <w:abstractNum w:abstractNumId="19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288" w:hanging="360"/>
        <w:tabs>
          <w:tab w:val="num" w:pos="0" w:leader="none"/>
        </w:tabs>
      </w:pPr>
      <w:rPr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32" w:hanging="432"/>
        <w:tabs>
          <w:tab w:val="num" w:pos="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574" w:hanging="432"/>
        <w:tabs>
          <w:tab w:val="num" w:pos="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ind w:left="1146" w:hanging="720"/>
        <w:tabs>
          <w:tab w:val="num" w:pos="142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146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288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79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932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434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76" w:hanging="144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31"/>
    <w:next w:val="931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31"/>
    <w:next w:val="931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31"/>
    <w:next w:val="931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31"/>
    <w:next w:val="931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31"/>
    <w:next w:val="931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31"/>
    <w:next w:val="931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31"/>
    <w:next w:val="931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31"/>
    <w:next w:val="931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31"/>
    <w:next w:val="931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31"/>
    <w:next w:val="931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link w:val="773"/>
    <w:uiPriority w:val="10"/>
    <w:rPr>
      <w:sz w:val="48"/>
      <w:szCs w:val="48"/>
    </w:rPr>
  </w:style>
  <w:style w:type="paragraph" w:styleId="775">
    <w:name w:val="Subtitle"/>
    <w:basedOn w:val="931"/>
    <w:next w:val="931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link w:val="775"/>
    <w:uiPriority w:val="11"/>
    <w:rPr>
      <w:sz w:val="24"/>
      <w:szCs w:val="24"/>
    </w:rPr>
  </w:style>
  <w:style w:type="paragraph" w:styleId="777">
    <w:name w:val="Quote"/>
    <w:basedOn w:val="931"/>
    <w:next w:val="931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31"/>
    <w:next w:val="931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paragraph" w:styleId="781">
    <w:name w:val="Header"/>
    <w:basedOn w:val="931"/>
    <w:link w:val="7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2">
    <w:name w:val="Header Char"/>
    <w:link w:val="781"/>
    <w:uiPriority w:val="99"/>
  </w:style>
  <w:style w:type="paragraph" w:styleId="783">
    <w:name w:val="Footer"/>
    <w:basedOn w:val="931"/>
    <w:link w:val="7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4">
    <w:name w:val="Footer Char"/>
    <w:link w:val="783"/>
    <w:uiPriority w:val="99"/>
  </w:style>
  <w:style w:type="paragraph" w:styleId="785">
    <w:name w:val="Caption"/>
    <w:basedOn w:val="931"/>
    <w:next w:val="9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6">
    <w:name w:val="Caption Char"/>
    <w:basedOn w:val="785"/>
    <w:link w:val="783"/>
    <w:uiPriority w:val="99"/>
  </w:style>
  <w:style w:type="table" w:styleId="78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3">
    <w:name w:val="Hyperlink"/>
    <w:uiPriority w:val="99"/>
    <w:unhideWhenUsed/>
    <w:rPr>
      <w:color w:val="0000ff" w:themeColor="hyperlink"/>
      <w:u w:val="single"/>
    </w:rPr>
  </w:style>
  <w:style w:type="paragraph" w:styleId="914">
    <w:name w:val="footnote text"/>
    <w:basedOn w:val="931"/>
    <w:link w:val="915"/>
    <w:uiPriority w:val="99"/>
    <w:semiHidden/>
    <w:unhideWhenUsed/>
    <w:pPr>
      <w:spacing w:after="40" w:line="240" w:lineRule="auto"/>
    </w:pPr>
    <w:rPr>
      <w:sz w:val="18"/>
    </w:rPr>
  </w:style>
  <w:style w:type="character" w:styleId="915">
    <w:name w:val="Footnote Text Char"/>
    <w:link w:val="914"/>
    <w:uiPriority w:val="99"/>
    <w:rPr>
      <w:sz w:val="18"/>
    </w:rPr>
  </w:style>
  <w:style w:type="character" w:styleId="916">
    <w:name w:val="footnote reference"/>
    <w:uiPriority w:val="99"/>
    <w:unhideWhenUsed/>
    <w:rPr>
      <w:vertAlign w:val="superscript"/>
    </w:rPr>
  </w:style>
  <w:style w:type="paragraph" w:styleId="917">
    <w:name w:val="endnote text"/>
    <w:basedOn w:val="931"/>
    <w:link w:val="918"/>
    <w:uiPriority w:val="99"/>
    <w:semiHidden/>
    <w:unhideWhenUsed/>
    <w:pPr>
      <w:spacing w:after="0" w:line="240" w:lineRule="auto"/>
    </w:pPr>
    <w:rPr>
      <w:sz w:val="20"/>
    </w:rPr>
  </w:style>
  <w:style w:type="character" w:styleId="918">
    <w:name w:val="Endnote Text Char"/>
    <w:link w:val="917"/>
    <w:uiPriority w:val="99"/>
    <w:rPr>
      <w:sz w:val="20"/>
    </w:rPr>
  </w:style>
  <w:style w:type="character" w:styleId="919">
    <w:name w:val="endnote reference"/>
    <w:uiPriority w:val="99"/>
    <w:semiHidden/>
    <w:unhideWhenUsed/>
    <w:rPr>
      <w:vertAlign w:val="superscript"/>
    </w:rPr>
  </w:style>
  <w:style w:type="paragraph" w:styleId="920">
    <w:name w:val="toc 1"/>
    <w:basedOn w:val="931"/>
    <w:next w:val="931"/>
    <w:uiPriority w:val="39"/>
    <w:unhideWhenUsed/>
    <w:pPr>
      <w:ind w:left="0" w:right="0" w:firstLine="0"/>
      <w:spacing w:after="57"/>
    </w:pPr>
  </w:style>
  <w:style w:type="paragraph" w:styleId="921">
    <w:name w:val="toc 2"/>
    <w:basedOn w:val="931"/>
    <w:next w:val="931"/>
    <w:uiPriority w:val="39"/>
    <w:unhideWhenUsed/>
    <w:pPr>
      <w:ind w:left="283" w:right="0" w:firstLine="0"/>
      <w:spacing w:after="57"/>
    </w:pPr>
  </w:style>
  <w:style w:type="paragraph" w:styleId="922">
    <w:name w:val="toc 3"/>
    <w:basedOn w:val="931"/>
    <w:next w:val="931"/>
    <w:uiPriority w:val="39"/>
    <w:unhideWhenUsed/>
    <w:pPr>
      <w:ind w:left="567" w:right="0" w:firstLine="0"/>
      <w:spacing w:after="57"/>
    </w:pPr>
  </w:style>
  <w:style w:type="paragraph" w:styleId="923">
    <w:name w:val="toc 4"/>
    <w:basedOn w:val="931"/>
    <w:next w:val="931"/>
    <w:uiPriority w:val="39"/>
    <w:unhideWhenUsed/>
    <w:pPr>
      <w:ind w:left="850" w:right="0" w:firstLine="0"/>
      <w:spacing w:after="57"/>
    </w:pPr>
  </w:style>
  <w:style w:type="paragraph" w:styleId="924">
    <w:name w:val="toc 5"/>
    <w:basedOn w:val="931"/>
    <w:next w:val="931"/>
    <w:uiPriority w:val="39"/>
    <w:unhideWhenUsed/>
    <w:pPr>
      <w:ind w:left="1134" w:right="0" w:firstLine="0"/>
      <w:spacing w:after="57"/>
    </w:pPr>
  </w:style>
  <w:style w:type="paragraph" w:styleId="925">
    <w:name w:val="toc 6"/>
    <w:basedOn w:val="931"/>
    <w:next w:val="931"/>
    <w:uiPriority w:val="39"/>
    <w:unhideWhenUsed/>
    <w:pPr>
      <w:ind w:left="1417" w:right="0" w:firstLine="0"/>
      <w:spacing w:after="57"/>
    </w:pPr>
  </w:style>
  <w:style w:type="paragraph" w:styleId="926">
    <w:name w:val="toc 7"/>
    <w:basedOn w:val="931"/>
    <w:next w:val="931"/>
    <w:uiPriority w:val="39"/>
    <w:unhideWhenUsed/>
    <w:pPr>
      <w:ind w:left="1701" w:right="0" w:firstLine="0"/>
      <w:spacing w:after="57"/>
    </w:pPr>
  </w:style>
  <w:style w:type="paragraph" w:styleId="927">
    <w:name w:val="toc 8"/>
    <w:basedOn w:val="931"/>
    <w:next w:val="931"/>
    <w:uiPriority w:val="39"/>
    <w:unhideWhenUsed/>
    <w:pPr>
      <w:ind w:left="1984" w:right="0" w:firstLine="0"/>
      <w:spacing w:after="57"/>
    </w:pPr>
  </w:style>
  <w:style w:type="paragraph" w:styleId="928">
    <w:name w:val="toc 9"/>
    <w:basedOn w:val="931"/>
    <w:next w:val="931"/>
    <w:uiPriority w:val="39"/>
    <w:unhideWhenUsed/>
    <w:pPr>
      <w:ind w:left="2268" w:right="0" w:firstLine="0"/>
      <w:spacing w:after="57"/>
    </w:pPr>
  </w:style>
  <w:style w:type="paragraph" w:styleId="929">
    <w:name w:val="TOC Heading"/>
    <w:uiPriority w:val="39"/>
    <w:unhideWhenUsed/>
  </w:style>
  <w:style w:type="paragraph" w:styleId="930">
    <w:name w:val="table of figures"/>
    <w:basedOn w:val="931"/>
    <w:next w:val="931"/>
    <w:uiPriority w:val="99"/>
    <w:unhideWhenUsed/>
    <w:pPr>
      <w:spacing w:after="0" w:afterAutospacing="0"/>
    </w:pPr>
  </w:style>
  <w:style w:type="paragraph" w:styleId="931" w:default="1">
    <w:name w:val="Normal"/>
    <w:next w:val="931"/>
    <w:link w:val="931"/>
    <w:qFormat/>
    <w:rPr>
      <w:lang w:val="ru-RU" w:eastAsia="zh-CN" w:bidi="ar-SA"/>
    </w:rPr>
  </w:style>
  <w:style w:type="character" w:styleId="932">
    <w:name w:val="Основной шрифт абзаца"/>
    <w:next w:val="932"/>
    <w:link w:val="931"/>
    <w:uiPriority w:val="1"/>
    <w:semiHidden/>
    <w:unhideWhenUsed/>
  </w:style>
  <w:style w:type="table" w:styleId="933">
    <w:name w:val="Обычная таблица"/>
    <w:next w:val="933"/>
    <w:link w:val="931"/>
    <w:uiPriority w:val="99"/>
    <w:semiHidden/>
    <w:unhideWhenUsed/>
    <w:tblPr/>
  </w:style>
  <w:style w:type="numbering" w:styleId="934">
    <w:name w:val="Нет списка"/>
    <w:next w:val="934"/>
    <w:link w:val="931"/>
    <w:uiPriority w:val="99"/>
    <w:semiHidden/>
    <w:unhideWhenUsed/>
  </w:style>
  <w:style w:type="character" w:styleId="935">
    <w:name w:val="WW8Num1z0"/>
    <w:next w:val="935"/>
    <w:link w:val="931"/>
    <w:rPr>
      <w:b/>
      <w:sz w:val="20"/>
      <w:szCs w:val="20"/>
    </w:rPr>
  </w:style>
  <w:style w:type="character" w:styleId="936">
    <w:name w:val="WW8Num1z1"/>
    <w:next w:val="936"/>
    <w:link w:val="931"/>
    <w:rPr>
      <w:b w:val="0"/>
      <w:i w:val="0"/>
      <w:sz w:val="24"/>
      <w:szCs w:val="24"/>
    </w:rPr>
  </w:style>
  <w:style w:type="character" w:styleId="937">
    <w:name w:val="WW8Num1z2"/>
    <w:next w:val="937"/>
    <w:link w:val="931"/>
  </w:style>
  <w:style w:type="character" w:styleId="938">
    <w:name w:val="WW8Num2z0"/>
    <w:next w:val="938"/>
    <w:link w:val="931"/>
    <w:rPr>
      <w:rFonts w:ascii="Symbol" w:hAnsi="Symbol" w:cs="StarSymbol"/>
      <w:sz w:val="18"/>
      <w:szCs w:val="18"/>
    </w:rPr>
  </w:style>
  <w:style w:type="character" w:styleId="939">
    <w:name w:val="WW8Num3z0"/>
    <w:next w:val="939"/>
    <w:link w:val="931"/>
    <w:rPr>
      <w:rFonts w:cs="Times New Roman"/>
    </w:rPr>
  </w:style>
  <w:style w:type="character" w:styleId="940">
    <w:name w:val="WW8Num3z1"/>
    <w:next w:val="940"/>
    <w:link w:val="931"/>
    <w:rPr>
      <w:rFonts w:cs="Times New Roman"/>
    </w:rPr>
  </w:style>
  <w:style w:type="character" w:styleId="941">
    <w:name w:val="WW8Num4z0"/>
    <w:next w:val="941"/>
    <w:link w:val="931"/>
    <w:rPr>
      <w:color w:val="000000"/>
    </w:rPr>
  </w:style>
  <w:style w:type="character" w:styleId="942">
    <w:name w:val="WW8Num4z2"/>
    <w:next w:val="942"/>
    <w:link w:val="931"/>
    <w:rPr>
      <w:color w:val="ff0000"/>
    </w:rPr>
  </w:style>
  <w:style w:type="character" w:styleId="943">
    <w:name w:val="WW8Num5z0"/>
    <w:next w:val="943"/>
    <w:link w:val="931"/>
  </w:style>
  <w:style w:type="character" w:styleId="944">
    <w:name w:val="WW8Num5z2"/>
    <w:next w:val="944"/>
    <w:link w:val="931"/>
    <w:rPr>
      <w:b w:val="0"/>
      <w:i w:val="0"/>
      <w:sz w:val="20"/>
      <w:szCs w:val="20"/>
    </w:rPr>
  </w:style>
  <w:style w:type="character" w:styleId="945">
    <w:name w:val="WW8Num6z0"/>
    <w:next w:val="945"/>
    <w:link w:val="931"/>
  </w:style>
  <w:style w:type="character" w:styleId="946">
    <w:name w:val="WW8Num6z2"/>
    <w:next w:val="946"/>
    <w:link w:val="931"/>
    <w:rPr>
      <w:b w:val="0"/>
      <w:i w:val="0"/>
      <w:sz w:val="20"/>
      <w:szCs w:val="20"/>
    </w:rPr>
  </w:style>
  <w:style w:type="character" w:styleId="947">
    <w:name w:val="WW8Num7z0"/>
    <w:next w:val="947"/>
    <w:link w:val="931"/>
  </w:style>
  <w:style w:type="character" w:styleId="948">
    <w:name w:val="WW8Num8z0"/>
    <w:next w:val="948"/>
    <w:link w:val="931"/>
  </w:style>
  <w:style w:type="character" w:styleId="949">
    <w:name w:val="WW8Num9z0"/>
    <w:next w:val="949"/>
    <w:link w:val="931"/>
  </w:style>
  <w:style w:type="character" w:styleId="950">
    <w:name w:val="WW8Num10z0"/>
    <w:next w:val="950"/>
    <w:link w:val="931"/>
  </w:style>
  <w:style w:type="character" w:styleId="951">
    <w:name w:val="WW8Num11z0"/>
    <w:next w:val="951"/>
    <w:link w:val="931"/>
  </w:style>
  <w:style w:type="character" w:styleId="952">
    <w:name w:val="WW8Num12z0"/>
    <w:next w:val="952"/>
    <w:link w:val="931"/>
  </w:style>
  <w:style w:type="character" w:styleId="953">
    <w:name w:val="WW8Num13z0"/>
    <w:next w:val="953"/>
    <w:link w:val="931"/>
  </w:style>
  <w:style w:type="character" w:styleId="954">
    <w:name w:val="WW8Num14z0"/>
    <w:next w:val="954"/>
    <w:link w:val="931"/>
  </w:style>
  <w:style w:type="character" w:styleId="955">
    <w:name w:val="WW8Num15z0"/>
    <w:next w:val="955"/>
    <w:link w:val="931"/>
    <w:rPr>
      <w:rFonts w:ascii="Symbol" w:hAnsi="Symbol" w:cs="Symbol"/>
      <w:sz w:val="20"/>
    </w:rPr>
  </w:style>
  <w:style w:type="character" w:styleId="956">
    <w:name w:val="WW8Num15z1"/>
    <w:next w:val="956"/>
    <w:link w:val="931"/>
    <w:rPr>
      <w:rFonts w:ascii="Courier New" w:hAnsi="Courier New" w:cs="Courier New"/>
      <w:sz w:val="20"/>
    </w:rPr>
  </w:style>
  <w:style w:type="character" w:styleId="957">
    <w:name w:val="WW8Num15z2"/>
    <w:next w:val="957"/>
    <w:link w:val="931"/>
    <w:rPr>
      <w:rFonts w:ascii="Wingdings" w:hAnsi="Wingdings" w:cs="Wingdings"/>
      <w:sz w:val="20"/>
    </w:rPr>
  </w:style>
  <w:style w:type="character" w:styleId="958">
    <w:name w:val="WW8Num16z0"/>
    <w:next w:val="958"/>
    <w:link w:val="931"/>
  </w:style>
  <w:style w:type="character" w:styleId="959">
    <w:name w:val="WW8Num17z0"/>
    <w:next w:val="959"/>
    <w:link w:val="931"/>
  </w:style>
  <w:style w:type="character" w:styleId="960">
    <w:name w:val="WW8Num18z0"/>
    <w:next w:val="960"/>
    <w:link w:val="931"/>
  </w:style>
  <w:style w:type="character" w:styleId="961">
    <w:name w:val="WW8Num19z0"/>
    <w:next w:val="961"/>
    <w:link w:val="931"/>
    <w:rPr>
      <w:rFonts w:ascii="Symbol" w:hAnsi="Symbol" w:cs="Symbol"/>
    </w:rPr>
  </w:style>
  <w:style w:type="character" w:styleId="962">
    <w:name w:val="WW8Num19z1"/>
    <w:next w:val="962"/>
    <w:link w:val="931"/>
    <w:rPr>
      <w:rFonts w:ascii="Courier New" w:hAnsi="Courier New" w:cs="Courier New"/>
    </w:rPr>
  </w:style>
  <w:style w:type="character" w:styleId="963">
    <w:name w:val="WW8Num19z2"/>
    <w:next w:val="963"/>
    <w:link w:val="931"/>
    <w:rPr>
      <w:rFonts w:ascii="Wingdings" w:hAnsi="Wingdings" w:cs="Wingdings"/>
    </w:rPr>
  </w:style>
  <w:style w:type="character" w:styleId="964">
    <w:name w:val="WW8Num20z0"/>
    <w:next w:val="964"/>
    <w:link w:val="931"/>
  </w:style>
  <w:style w:type="character" w:styleId="965">
    <w:name w:val="WW8Num21z0"/>
    <w:next w:val="965"/>
    <w:link w:val="931"/>
  </w:style>
  <w:style w:type="character" w:styleId="966">
    <w:name w:val="WW8Num21z2"/>
    <w:next w:val="966"/>
    <w:link w:val="931"/>
    <w:rPr>
      <w:i w:val="0"/>
    </w:rPr>
  </w:style>
  <w:style w:type="character" w:styleId="967">
    <w:name w:val="WW8Num22z0"/>
    <w:next w:val="967"/>
    <w:link w:val="931"/>
  </w:style>
  <w:style w:type="character" w:styleId="968">
    <w:name w:val="WW8Num23z0"/>
    <w:next w:val="968"/>
    <w:link w:val="931"/>
  </w:style>
  <w:style w:type="character" w:styleId="969">
    <w:name w:val="WW8Num24z0"/>
    <w:next w:val="969"/>
    <w:link w:val="931"/>
    <w:rPr>
      <w:i w:val="0"/>
    </w:rPr>
  </w:style>
  <w:style w:type="character" w:styleId="970">
    <w:name w:val="WW8Num25z0"/>
    <w:next w:val="970"/>
    <w:link w:val="931"/>
    <w:rPr>
      <w:rFonts w:ascii="Calibri" w:hAnsi="Calibri" w:cs="Calibri"/>
      <w:sz w:val="22"/>
    </w:rPr>
  </w:style>
  <w:style w:type="character" w:styleId="971">
    <w:name w:val="WW8Num26z0"/>
    <w:next w:val="971"/>
    <w:link w:val="931"/>
  </w:style>
  <w:style w:type="character" w:styleId="972">
    <w:name w:val="WW8Num27z0"/>
    <w:next w:val="972"/>
    <w:link w:val="931"/>
  </w:style>
  <w:style w:type="character" w:styleId="973">
    <w:name w:val="WW8Num28z0"/>
    <w:next w:val="973"/>
    <w:link w:val="931"/>
    <w:rPr>
      <w:rFonts w:ascii="Symbol" w:hAnsi="Symbol" w:cs="Symbol"/>
      <w:sz w:val="24"/>
      <w:szCs w:val="24"/>
    </w:rPr>
  </w:style>
  <w:style w:type="character" w:styleId="974">
    <w:name w:val="WW8Num28z1"/>
    <w:next w:val="974"/>
    <w:link w:val="931"/>
    <w:rPr>
      <w:rFonts w:ascii="Symbol" w:hAnsi="Symbol" w:cs="Symbol"/>
    </w:rPr>
  </w:style>
  <w:style w:type="character" w:styleId="975">
    <w:name w:val="WW8Num29z0"/>
    <w:next w:val="975"/>
    <w:link w:val="931"/>
  </w:style>
  <w:style w:type="character" w:styleId="976">
    <w:name w:val="WW8Num30z0"/>
    <w:next w:val="976"/>
    <w:link w:val="931"/>
  </w:style>
  <w:style w:type="character" w:styleId="977">
    <w:name w:val="WW8Num31z0"/>
    <w:next w:val="977"/>
    <w:link w:val="931"/>
  </w:style>
  <w:style w:type="character" w:styleId="978">
    <w:name w:val="WW8Num32z0"/>
    <w:next w:val="978"/>
    <w:link w:val="931"/>
  </w:style>
  <w:style w:type="character" w:styleId="979">
    <w:name w:val="WW8Num33z0"/>
    <w:next w:val="979"/>
    <w:link w:val="931"/>
    <w:rPr>
      <w:rFonts w:ascii="Calibri" w:hAnsi="Calibri" w:cs="Calibri"/>
      <w:sz w:val="22"/>
    </w:rPr>
  </w:style>
  <w:style w:type="character" w:styleId="980">
    <w:name w:val="WW8Num34z0"/>
    <w:next w:val="980"/>
    <w:link w:val="931"/>
  </w:style>
  <w:style w:type="character" w:styleId="981">
    <w:name w:val="WW8Num35z0"/>
    <w:next w:val="981"/>
    <w:link w:val="931"/>
  </w:style>
  <w:style w:type="character" w:styleId="982">
    <w:name w:val="WW8Num35z2"/>
    <w:next w:val="982"/>
    <w:link w:val="931"/>
    <w:rPr>
      <w:i w:val="0"/>
    </w:rPr>
  </w:style>
  <w:style w:type="character" w:styleId="983">
    <w:name w:val="WW8Num36z0"/>
    <w:next w:val="983"/>
    <w:link w:val="931"/>
  </w:style>
  <w:style w:type="character" w:styleId="984">
    <w:name w:val="WW8Num37z0"/>
    <w:next w:val="984"/>
    <w:link w:val="931"/>
  </w:style>
  <w:style w:type="character" w:styleId="985">
    <w:name w:val="WW8Num38z0"/>
    <w:next w:val="985"/>
    <w:link w:val="931"/>
  </w:style>
  <w:style w:type="character" w:styleId="986">
    <w:name w:val="WW8Num39z0"/>
    <w:next w:val="986"/>
    <w:link w:val="931"/>
    <w:rPr>
      <w:i w:val="0"/>
    </w:rPr>
  </w:style>
  <w:style w:type="character" w:styleId="987">
    <w:name w:val="WW8Num40z0"/>
    <w:next w:val="987"/>
    <w:link w:val="931"/>
  </w:style>
  <w:style w:type="character" w:styleId="988">
    <w:name w:val="WW8Num41z0"/>
    <w:next w:val="988"/>
    <w:link w:val="931"/>
  </w:style>
  <w:style w:type="character" w:styleId="989">
    <w:name w:val="WW8Num42z0"/>
    <w:next w:val="989"/>
    <w:link w:val="931"/>
  </w:style>
  <w:style w:type="character" w:styleId="990">
    <w:name w:val="WW8Num43z0"/>
    <w:next w:val="990"/>
    <w:link w:val="931"/>
  </w:style>
  <w:style w:type="character" w:styleId="991">
    <w:name w:val="WW8Num44z0"/>
    <w:next w:val="991"/>
    <w:link w:val="931"/>
    <w:rPr>
      <w:i w:val="0"/>
    </w:rPr>
  </w:style>
  <w:style w:type="character" w:styleId="992">
    <w:name w:val="WW8Num44z1"/>
    <w:next w:val="992"/>
    <w:link w:val="931"/>
  </w:style>
  <w:style w:type="character" w:styleId="993">
    <w:name w:val="WW8Num44z2"/>
    <w:next w:val="993"/>
    <w:link w:val="931"/>
    <w:rPr>
      <w:b w:val="0"/>
      <w:i w:val="0"/>
      <w:color w:val="000000"/>
      <w:sz w:val="20"/>
      <w:szCs w:val="20"/>
    </w:rPr>
  </w:style>
  <w:style w:type="character" w:styleId="994">
    <w:name w:val="WW8Num45z0"/>
    <w:next w:val="994"/>
    <w:link w:val="931"/>
  </w:style>
  <w:style w:type="character" w:styleId="995">
    <w:name w:val="WW8Num45z2"/>
    <w:next w:val="995"/>
    <w:link w:val="931"/>
    <w:rPr>
      <w:b w:val="0"/>
      <w:i w:val="0"/>
      <w:color w:val="000000"/>
      <w:sz w:val="20"/>
      <w:szCs w:val="20"/>
    </w:rPr>
  </w:style>
  <w:style w:type="character" w:styleId="996">
    <w:name w:val="WW8Num46z0"/>
    <w:next w:val="996"/>
    <w:link w:val="931"/>
  </w:style>
  <w:style w:type="character" w:styleId="997">
    <w:name w:val="WW8Num46z2"/>
    <w:next w:val="997"/>
    <w:link w:val="931"/>
    <w:rPr>
      <w:b w:val="0"/>
      <w:i w:val="0"/>
      <w:color w:val="000000"/>
      <w:sz w:val="20"/>
      <w:szCs w:val="20"/>
    </w:rPr>
  </w:style>
  <w:style w:type="character" w:styleId="998">
    <w:name w:val="WW8Num47z0"/>
    <w:next w:val="998"/>
    <w:link w:val="931"/>
  </w:style>
  <w:style w:type="character" w:styleId="999">
    <w:name w:val="WW8Num48z0"/>
    <w:next w:val="999"/>
    <w:link w:val="931"/>
  </w:style>
  <w:style w:type="character" w:styleId="1000">
    <w:name w:val="WW8Num48z2"/>
    <w:next w:val="1000"/>
    <w:link w:val="931"/>
    <w:rPr>
      <w:b w:val="0"/>
      <w:i w:val="0"/>
      <w:sz w:val="20"/>
      <w:szCs w:val="20"/>
    </w:rPr>
  </w:style>
  <w:style w:type="character" w:styleId="1001">
    <w:name w:val="WW8Num49z0"/>
    <w:next w:val="1001"/>
    <w:link w:val="931"/>
  </w:style>
  <w:style w:type="character" w:styleId="1002">
    <w:name w:val="WW8Num50z0"/>
    <w:next w:val="1002"/>
    <w:link w:val="931"/>
  </w:style>
  <w:style w:type="character" w:styleId="1003">
    <w:name w:val="Основной шрифт абзаца1"/>
    <w:next w:val="1003"/>
    <w:link w:val="931"/>
  </w:style>
  <w:style w:type="character" w:styleId="1004">
    <w:name w:val="Номер страницы"/>
    <w:basedOn w:val="1003"/>
    <w:next w:val="1004"/>
    <w:link w:val="931"/>
  </w:style>
  <w:style w:type="character" w:styleId="1005">
    <w:name w:val="Гиперссылка"/>
    <w:next w:val="1005"/>
    <w:link w:val="931"/>
    <w:rPr>
      <w:color w:val="0000ff"/>
      <w:u w:val="single"/>
    </w:rPr>
  </w:style>
  <w:style w:type="character" w:styleId="1006">
    <w:name w:val="Знак примечания1"/>
    <w:next w:val="1006"/>
    <w:link w:val="931"/>
    <w:rPr>
      <w:sz w:val="16"/>
      <w:szCs w:val="16"/>
    </w:rPr>
  </w:style>
  <w:style w:type="character" w:styleId="1007">
    <w:name w:val="highlight highlight_active"/>
    <w:basedOn w:val="1003"/>
    <w:next w:val="1007"/>
    <w:link w:val="931"/>
  </w:style>
  <w:style w:type="character" w:styleId="1008">
    <w:name w:val="Текст примечания Знак"/>
    <w:next w:val="1008"/>
    <w:link w:val="931"/>
  </w:style>
  <w:style w:type="character" w:styleId="1009">
    <w:name w:val="Основной текст с отступом Знак"/>
    <w:next w:val="1009"/>
    <w:link w:val="931"/>
  </w:style>
  <w:style w:type="character" w:styleId="1010">
    <w:name w:val="Номер строки"/>
    <w:next w:val="1010"/>
    <w:link w:val="931"/>
  </w:style>
  <w:style w:type="paragraph" w:styleId="1011">
    <w:name w:val="Заголовок"/>
    <w:basedOn w:val="931"/>
    <w:next w:val="1012"/>
    <w:link w:val="931"/>
    <w:pPr>
      <w:ind w:left="0" w:right="-335" w:firstLine="0"/>
      <w:jc w:val="center"/>
    </w:pPr>
    <w:rPr>
      <w:b/>
    </w:rPr>
  </w:style>
  <w:style w:type="paragraph" w:styleId="1012">
    <w:name w:val="Основной текст"/>
    <w:basedOn w:val="931"/>
    <w:next w:val="1012"/>
    <w:link w:val="931"/>
    <w:pPr>
      <w:spacing w:before="0" w:after="120"/>
    </w:pPr>
  </w:style>
  <w:style w:type="paragraph" w:styleId="1013">
    <w:name w:val="Список"/>
    <w:basedOn w:val="1012"/>
    <w:next w:val="1013"/>
    <w:link w:val="931"/>
    <w:rPr>
      <w:rFonts w:ascii="PT Astra Serif" w:hAnsi="PT Astra Serif" w:cs="Noto Sans Devanagari"/>
    </w:rPr>
  </w:style>
  <w:style w:type="paragraph" w:styleId="1014">
    <w:name w:val="Название объекта"/>
    <w:basedOn w:val="931"/>
    <w:next w:val="1014"/>
    <w:link w:val="931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1015">
    <w:name w:val="Указатель1"/>
    <w:basedOn w:val="931"/>
    <w:next w:val="1015"/>
    <w:link w:val="931"/>
    <w:pPr>
      <w:suppressLineNumbers/>
    </w:pPr>
    <w:rPr>
      <w:rFonts w:ascii="PT Astra Serif" w:hAnsi="PT Astra Serif" w:cs="Noto Sans Devanagari"/>
    </w:rPr>
  </w:style>
  <w:style w:type="paragraph" w:styleId="1016">
    <w:name w:val="Колонтитул"/>
    <w:basedOn w:val="931"/>
    <w:next w:val="1016"/>
    <w:link w:val="931"/>
    <w:pPr>
      <w:tabs>
        <w:tab w:val="center" w:pos="4819" w:leader="none"/>
        <w:tab w:val="right" w:pos="9638" w:leader="none"/>
      </w:tabs>
      <w:suppressLineNumbers/>
    </w:pPr>
  </w:style>
  <w:style w:type="paragraph" w:styleId="1017">
    <w:name w:val="Верхний колонтитул"/>
    <w:basedOn w:val="931"/>
    <w:next w:val="1017"/>
    <w:link w:val="931"/>
    <w:pPr>
      <w:tabs>
        <w:tab w:val="center" w:pos="4153" w:leader="none"/>
        <w:tab w:val="right" w:pos="8306" w:leader="none"/>
      </w:tabs>
    </w:pPr>
  </w:style>
  <w:style w:type="paragraph" w:styleId="1018">
    <w:name w:val="Нижний колонтитул"/>
    <w:basedOn w:val="931"/>
    <w:next w:val="1018"/>
    <w:link w:val="931"/>
    <w:pPr>
      <w:tabs>
        <w:tab w:val="center" w:pos="4153" w:leader="none"/>
        <w:tab w:val="right" w:pos="8306" w:leader="none"/>
      </w:tabs>
    </w:pPr>
  </w:style>
  <w:style w:type="paragraph" w:styleId="1019">
    <w:name w:val="Основной текст с отступом"/>
    <w:basedOn w:val="931"/>
    <w:next w:val="1019"/>
    <w:link w:val="931"/>
    <w:pPr>
      <w:ind w:left="0" w:right="-1" w:firstLine="567"/>
      <w:jc w:val="both"/>
    </w:pPr>
  </w:style>
  <w:style w:type="paragraph" w:styleId="1020">
    <w:name w:val="Основной текст с отступом 21"/>
    <w:basedOn w:val="931"/>
    <w:next w:val="1020"/>
    <w:link w:val="931"/>
    <w:pPr>
      <w:ind w:left="0" w:right="-1" w:firstLine="567"/>
      <w:jc w:val="both"/>
    </w:pPr>
    <w:rPr>
      <w:color w:val="0000ff"/>
    </w:rPr>
  </w:style>
  <w:style w:type="paragraph" w:styleId="1021">
    <w:name w:val="Основной текст с отступом 31"/>
    <w:basedOn w:val="931"/>
    <w:next w:val="1021"/>
    <w:link w:val="931"/>
    <w:pPr>
      <w:ind w:left="567" w:right="0" w:firstLine="426"/>
      <w:jc w:val="both"/>
      <w:spacing w:line="220" w:lineRule="exact"/>
    </w:pPr>
  </w:style>
  <w:style w:type="paragraph" w:styleId="1022">
    <w:name w:val="Текст выноски"/>
    <w:basedOn w:val="931"/>
    <w:next w:val="1022"/>
    <w:link w:val="931"/>
    <w:rPr>
      <w:rFonts w:ascii="Tahoma" w:hAnsi="Tahoma" w:cs="Tahoma"/>
      <w:sz w:val="16"/>
      <w:szCs w:val="16"/>
    </w:rPr>
  </w:style>
  <w:style w:type="paragraph" w:styleId="1023">
    <w:name w:val="LO-Normal"/>
    <w:next w:val="1023"/>
    <w:link w:val="931"/>
    <w:pPr>
      <w:widowControl w:val="off"/>
      <w:suppressLineNumbers/>
    </w:pPr>
    <w:rPr>
      <w:lang w:val="ru-RU" w:eastAsia="zh-CN" w:bidi="ar-SA"/>
    </w:rPr>
  </w:style>
  <w:style w:type="paragraph" w:styleId="1024">
    <w:name w:val="Iniiaiie oaeno io?aoa"/>
    <w:next w:val="1024"/>
    <w:link w:val="931"/>
    <w:pPr>
      <w:ind w:firstLine="720"/>
      <w:jc w:val="both"/>
      <w:spacing w:line="240" w:lineRule="atLeast"/>
      <w:widowControl w:val="off"/>
    </w:pPr>
    <w:rPr>
      <w:sz w:val="24"/>
      <w:szCs w:val="24"/>
      <w:lang w:val="en-US" w:eastAsia="zh-CN" w:bidi="ar-SA"/>
    </w:rPr>
  </w:style>
  <w:style w:type="paragraph" w:styleId="1025">
    <w:name w:val="Стандартный HTML"/>
    <w:basedOn w:val="931"/>
    <w:next w:val="1025"/>
    <w:link w:val="931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000000"/>
    </w:rPr>
  </w:style>
  <w:style w:type="paragraph" w:styleId="1026">
    <w:name w:val="Оглавление 1"/>
    <w:basedOn w:val="931"/>
    <w:next w:val="931"/>
    <w:link w:val="931"/>
  </w:style>
  <w:style w:type="paragraph" w:styleId="1027">
    <w:name w:val=" Знак"/>
    <w:basedOn w:val="931"/>
    <w:next w:val="1027"/>
    <w:link w:val="931"/>
    <w:pPr>
      <w:ind w:left="390" w:right="0" w:hanging="390"/>
      <w:jc w:val="both"/>
      <w:spacing w:before="0" w:after="160" w:line="240" w:lineRule="exact"/>
      <w:tabs>
        <w:tab w:val="left" w:pos="390" w:leader="none"/>
      </w:tabs>
    </w:pPr>
    <w:rPr>
      <w:rFonts w:ascii="Verdana" w:hAnsi="Verdana" w:cs="Arial"/>
      <w:lang w:val="en-US"/>
    </w:rPr>
  </w:style>
  <w:style w:type="paragraph" w:styleId="1028">
    <w:name w:val=" Знак1"/>
    <w:basedOn w:val="931"/>
    <w:next w:val="1028"/>
    <w:link w:val="931"/>
    <w:pPr>
      <w:ind w:left="390" w:right="0" w:hanging="390"/>
      <w:jc w:val="both"/>
      <w:spacing w:before="0" w:after="160" w:line="240" w:lineRule="exact"/>
      <w:tabs>
        <w:tab w:val="left" w:pos="390" w:leader="none"/>
      </w:tabs>
    </w:pPr>
    <w:rPr>
      <w:rFonts w:ascii="Verdana" w:hAnsi="Verdana" w:cs="Arial"/>
      <w:lang w:val="en-US"/>
    </w:rPr>
  </w:style>
  <w:style w:type="paragraph" w:styleId="1029">
    <w:name w:val="Текст примечания1"/>
    <w:basedOn w:val="931"/>
    <w:next w:val="1029"/>
    <w:link w:val="931"/>
  </w:style>
  <w:style w:type="paragraph" w:styleId="1030">
    <w:name w:val="Тема примечания"/>
    <w:basedOn w:val="1029"/>
    <w:next w:val="1029"/>
    <w:link w:val="931"/>
    <w:rPr>
      <w:b/>
      <w:bCs/>
    </w:rPr>
  </w:style>
  <w:style w:type="paragraph" w:styleId="1031">
    <w:name w:val="List Paragraph"/>
    <w:basedOn w:val="931"/>
    <w:next w:val="1031"/>
    <w:link w:val="931"/>
    <w:pPr>
      <w:contextualSpacing/>
      <w:ind w:left="720" w:right="0" w:firstLine="0"/>
      <w:spacing w:before="0" w:after="200" w:line="276" w:lineRule="auto"/>
    </w:pPr>
    <w:rPr>
      <w:rFonts w:ascii="Calibri" w:hAnsi="Calibri" w:cs="Calibri"/>
      <w:sz w:val="22"/>
      <w:szCs w:val="22"/>
    </w:rPr>
  </w:style>
  <w:style w:type="paragraph" w:styleId="1032">
    <w:name w:val="Обычный (веб)"/>
    <w:basedOn w:val="931"/>
    <w:next w:val="1032"/>
    <w:link w:val="931"/>
    <w:pPr>
      <w:spacing w:before="100" w:after="100"/>
    </w:pPr>
    <w:rPr>
      <w:sz w:val="24"/>
      <w:szCs w:val="24"/>
    </w:rPr>
  </w:style>
  <w:style w:type="paragraph" w:styleId="1033">
    <w:name w:val="ConsPlusNormal"/>
    <w:next w:val="1033"/>
    <w:link w:val="931"/>
    <w:rPr>
      <w:rFonts w:ascii="Arial" w:hAnsi="Arial" w:cs="Arial"/>
      <w:lang w:val="ru-RU" w:eastAsia="zh-CN" w:bidi="ar-SA"/>
    </w:rPr>
  </w:style>
  <w:style w:type="paragraph" w:styleId="1034">
    <w:name w:val="Содержимое таблицы"/>
    <w:basedOn w:val="931"/>
    <w:next w:val="1034"/>
    <w:link w:val="931"/>
    <w:pPr>
      <w:widowControl w:val="off"/>
      <w:suppressLineNumbers/>
    </w:pPr>
  </w:style>
  <w:style w:type="paragraph" w:styleId="1035">
    <w:name w:val="Заголовок таблицы"/>
    <w:basedOn w:val="1034"/>
    <w:next w:val="1035"/>
    <w:link w:val="931"/>
    <w:pPr>
      <w:jc w:val="center"/>
      <w:suppressLineNumbers/>
    </w:pPr>
    <w:rPr>
      <w:b/>
      <w:bCs/>
    </w:rPr>
  </w:style>
  <w:style w:type="character" w:styleId="1036" w:default="1">
    <w:name w:val="Default Paragraph Font"/>
    <w:uiPriority w:val="1"/>
    <w:semiHidden/>
    <w:unhideWhenUsed/>
  </w:style>
  <w:style w:type="numbering" w:styleId="1037" w:default="1">
    <w:name w:val="No List"/>
    <w:uiPriority w:val="99"/>
    <w:semiHidden/>
    <w:unhideWhenUsed/>
  </w:style>
  <w:style w:type="table" w:styleId="1038" w:default="1">
    <w:name w:val="Normal Table"/>
    <w:uiPriority w:val="99"/>
    <w:semiHidden/>
    <w:unhideWhenUsed/>
    <w:tblPr/>
  </w:style>
  <w:style w:type="paragraph" w:styleId="1039" w:customStyle="1">
    <w:name w:val="Название"/>
    <w:basedOn w:val="971"/>
    <w:qFormat/>
    <w:pPr>
      <w:contextualSpacing w:val="0"/>
      <w:ind w:left="0" w:right="-335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ЭЛЕКТРОСНАБЖЕНИЯ</dc:title>
  <dc:creator>user</dc:creator>
  <cp:revision>10</cp:revision>
  <dcterms:created xsi:type="dcterms:W3CDTF">2024-11-14T09:43:00Z</dcterms:created>
  <dcterms:modified xsi:type="dcterms:W3CDTF">2024-11-15T12:14:43Z</dcterms:modified>
  <cp:version>1048576</cp:version>
</cp:coreProperties>
</file>